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0671" w14:textId="77777777" w:rsidR="0043067E" w:rsidRPr="0043067E" w:rsidRDefault="007B5BC8" w:rsidP="0043067E">
      <w:pPr>
        <w:pStyle w:val="Heading2"/>
        <w:keepNext w:val="0"/>
        <w:keepLines w:val="0"/>
        <w:spacing w:before="0" w:after="0"/>
        <w:jc w:val="center"/>
        <w:rPr>
          <w:rFonts w:asciiTheme="minorHAnsi" w:hAnsiTheme="minorHAnsi"/>
          <w:b/>
          <w:bCs/>
        </w:rPr>
      </w:pPr>
      <w:r w:rsidRPr="0043067E">
        <w:rPr>
          <w:rFonts w:asciiTheme="minorHAnsi" w:hAnsiTheme="minorHAnsi"/>
          <w:b/>
          <w:bCs/>
        </w:rPr>
        <w:t xml:space="preserve">KY Academic Institution </w:t>
      </w:r>
      <w:r w:rsidR="0043067E" w:rsidRPr="0043067E">
        <w:rPr>
          <w:rFonts w:asciiTheme="minorHAnsi" w:hAnsiTheme="minorHAnsi"/>
          <w:b/>
          <w:bCs/>
        </w:rPr>
        <w:t>Microgrid Project</w:t>
      </w:r>
    </w:p>
    <w:p w14:paraId="0A9056DD" w14:textId="03D5BFA6" w:rsidR="0043067E" w:rsidRDefault="008404DA" w:rsidP="0043067E">
      <w:pPr>
        <w:pStyle w:val="Heading2"/>
        <w:keepNext w:val="0"/>
        <w:keepLines w:val="0"/>
        <w:spacing w:before="0" w:after="0"/>
        <w:jc w:val="center"/>
        <w:rPr>
          <w:b/>
        </w:rPr>
      </w:pPr>
      <w:r w:rsidRPr="0043067E">
        <w:rPr>
          <w:rFonts w:asciiTheme="minorHAnsi" w:hAnsiTheme="minorHAnsi"/>
          <w:b/>
        </w:rPr>
        <w:t>Evaluation Criteria</w:t>
      </w:r>
    </w:p>
    <w:p w14:paraId="430A5C5D" w14:textId="77777777" w:rsidR="0043067E" w:rsidRPr="0043067E" w:rsidRDefault="0043067E" w:rsidP="0043067E"/>
    <w:p w14:paraId="49CF13FA" w14:textId="6A423FA4" w:rsidR="008404DA" w:rsidRDefault="008404DA" w:rsidP="0043067E">
      <w:pPr>
        <w:pStyle w:val="Heading2"/>
        <w:keepNext w:val="0"/>
        <w:keepLines w:val="0"/>
        <w:spacing w:before="0" w:after="0"/>
        <w:ind w:firstLine="720"/>
        <w:jc w:val="center"/>
        <w:rPr>
          <w:rFonts w:asciiTheme="minorHAnsi" w:hAnsiTheme="minorHAnsi"/>
          <w:sz w:val="24"/>
          <w:szCs w:val="24"/>
        </w:rPr>
      </w:pPr>
      <w:r w:rsidRPr="0043067E">
        <w:rPr>
          <w:rFonts w:asciiTheme="minorHAnsi" w:hAnsiTheme="minorHAnsi"/>
          <w:b/>
          <w:sz w:val="24"/>
          <w:szCs w:val="24"/>
        </w:rPr>
        <w:t xml:space="preserve">Objectives and Metrics </w:t>
      </w:r>
      <w:r w:rsidRPr="0043067E">
        <w:rPr>
          <w:rFonts w:asciiTheme="minorHAnsi" w:hAnsiTheme="minorHAnsi"/>
          <w:sz w:val="24"/>
          <w:szCs w:val="24"/>
        </w:rPr>
        <w:t>This program will support institutions in:</w:t>
      </w:r>
    </w:p>
    <w:p w14:paraId="0B07C4DC" w14:textId="77777777" w:rsidR="0043067E" w:rsidRPr="0043067E" w:rsidRDefault="0043067E" w:rsidP="0043067E"/>
    <w:p w14:paraId="283E3111" w14:textId="77777777" w:rsidR="008404DA" w:rsidRPr="0043067E" w:rsidRDefault="008404DA" w:rsidP="0043067E">
      <w:pPr>
        <w:numPr>
          <w:ilvl w:val="0"/>
          <w:numId w:val="2"/>
        </w:numPr>
        <w:jc w:val="center"/>
        <w:rPr>
          <w:rFonts w:asciiTheme="minorHAnsi" w:hAnsiTheme="minorHAnsi"/>
        </w:rPr>
      </w:pPr>
      <w:r w:rsidRPr="0043067E">
        <w:rPr>
          <w:rFonts w:asciiTheme="minorHAnsi" w:hAnsiTheme="minorHAnsi"/>
        </w:rPr>
        <w:t>Enhancing Grid Resilience – Ensuring critical facilities maintain power during outages.</w:t>
      </w:r>
    </w:p>
    <w:p w14:paraId="79F1BC3B" w14:textId="6FB2A9D3" w:rsidR="008404DA" w:rsidRPr="0043067E" w:rsidRDefault="008404DA" w:rsidP="0043067E">
      <w:pPr>
        <w:numPr>
          <w:ilvl w:val="0"/>
          <w:numId w:val="2"/>
        </w:numPr>
        <w:spacing w:after="240"/>
        <w:jc w:val="center"/>
        <w:rPr>
          <w:rFonts w:asciiTheme="minorHAnsi" w:hAnsiTheme="minorHAnsi"/>
        </w:rPr>
      </w:pPr>
      <w:r w:rsidRPr="0043067E">
        <w:rPr>
          <w:rFonts w:asciiTheme="minorHAnsi" w:hAnsiTheme="minorHAnsi"/>
        </w:rPr>
        <w:t>Lowering Energy Costs – Improving energy efficiency and leveraging innovative technologies.</w:t>
      </w:r>
    </w:p>
    <w:p w14:paraId="0BD4DDAE" w14:textId="77777777" w:rsidR="007B5BC8" w:rsidRPr="0043067E" w:rsidRDefault="007B5BC8" w:rsidP="007B5BC8">
      <w:pPr>
        <w:numPr>
          <w:ilvl w:val="0"/>
          <w:numId w:val="3"/>
        </w:numPr>
        <w:spacing w:before="240"/>
        <w:rPr>
          <w:rFonts w:asciiTheme="minorHAnsi" w:hAnsiTheme="minorHAnsi"/>
        </w:rPr>
      </w:pPr>
      <w:r w:rsidRPr="0043067E">
        <w:rPr>
          <w:rFonts w:asciiTheme="minorHAnsi" w:hAnsiTheme="minorHAnsi"/>
        </w:rPr>
        <w:t>Qualifications and Capabilities (50 Points)</w:t>
      </w:r>
    </w:p>
    <w:p w14:paraId="0049184F" w14:textId="77777777" w:rsidR="007B5BC8" w:rsidRPr="0043067E" w:rsidRDefault="007B5BC8" w:rsidP="007B5BC8">
      <w:pPr>
        <w:numPr>
          <w:ilvl w:val="1"/>
          <w:numId w:val="3"/>
        </w:numPr>
        <w:rPr>
          <w:rFonts w:asciiTheme="minorHAnsi" w:hAnsiTheme="minorHAnsi"/>
        </w:rPr>
      </w:pPr>
      <w:r w:rsidRPr="0043067E">
        <w:rPr>
          <w:rFonts w:asciiTheme="minorHAnsi" w:hAnsiTheme="minorHAnsi"/>
        </w:rPr>
        <w:t xml:space="preserve">Relevant experience with technology and process. </w:t>
      </w:r>
    </w:p>
    <w:p w14:paraId="0F3635BD" w14:textId="77777777" w:rsidR="007B5BC8" w:rsidRPr="0043067E" w:rsidRDefault="007B5BC8" w:rsidP="007B5BC8">
      <w:pPr>
        <w:numPr>
          <w:ilvl w:val="1"/>
          <w:numId w:val="3"/>
        </w:numPr>
        <w:rPr>
          <w:rFonts w:asciiTheme="minorHAnsi" w:hAnsiTheme="minorHAnsi"/>
        </w:rPr>
      </w:pPr>
      <w:r w:rsidRPr="0043067E">
        <w:rPr>
          <w:rFonts w:asciiTheme="minorHAnsi" w:hAnsiTheme="minorHAnsi"/>
        </w:rPr>
        <w:t>Strength of team assembled for project.</w:t>
      </w:r>
    </w:p>
    <w:p w14:paraId="2DB85F7E" w14:textId="77777777" w:rsidR="007B5BC8" w:rsidRPr="0043067E" w:rsidRDefault="007B5BC8" w:rsidP="007B5BC8">
      <w:pPr>
        <w:numPr>
          <w:ilvl w:val="1"/>
          <w:numId w:val="3"/>
        </w:numPr>
        <w:rPr>
          <w:rFonts w:asciiTheme="minorHAnsi" w:hAnsiTheme="minorHAnsi"/>
        </w:rPr>
      </w:pPr>
      <w:r w:rsidRPr="0043067E">
        <w:rPr>
          <w:rFonts w:asciiTheme="minorHAnsi" w:hAnsiTheme="minorHAnsi"/>
        </w:rPr>
        <w:t>Ability of team to manage federal grants and state compliance obligations.</w:t>
      </w:r>
    </w:p>
    <w:p w14:paraId="15341FBA" w14:textId="77777777" w:rsidR="007B5BC8" w:rsidRPr="0043067E" w:rsidRDefault="007B5BC8" w:rsidP="007B5BC8">
      <w:pPr>
        <w:numPr>
          <w:ilvl w:val="1"/>
          <w:numId w:val="3"/>
        </w:numPr>
        <w:rPr>
          <w:rFonts w:asciiTheme="minorHAnsi" w:hAnsiTheme="minorHAnsi"/>
        </w:rPr>
      </w:pPr>
      <w:r w:rsidRPr="0043067E">
        <w:rPr>
          <w:rFonts w:asciiTheme="minorHAnsi" w:hAnsiTheme="minorHAnsi"/>
        </w:rPr>
        <w:t>Support or alignment with Kentucky Energy Security Plan, Ky State Emergency Operations Plan and the KY Microgrid deployment assessment</w:t>
      </w:r>
    </w:p>
    <w:p w14:paraId="0BB1DC0B" w14:textId="77777777" w:rsidR="007B5BC8" w:rsidRPr="0043067E" w:rsidRDefault="007B5BC8" w:rsidP="007B5BC8">
      <w:pPr>
        <w:ind w:left="1440"/>
        <w:rPr>
          <w:rFonts w:asciiTheme="minorHAnsi" w:hAnsiTheme="minorHAnsi"/>
        </w:rPr>
      </w:pPr>
    </w:p>
    <w:p w14:paraId="415351AF" w14:textId="77777777" w:rsidR="007B5BC8" w:rsidRPr="0043067E" w:rsidRDefault="007B5BC8" w:rsidP="007B5BC8">
      <w:pPr>
        <w:numPr>
          <w:ilvl w:val="0"/>
          <w:numId w:val="3"/>
        </w:numPr>
        <w:rPr>
          <w:rFonts w:asciiTheme="minorHAnsi" w:hAnsiTheme="minorHAnsi"/>
        </w:rPr>
      </w:pPr>
      <w:r w:rsidRPr="0043067E">
        <w:rPr>
          <w:rFonts w:asciiTheme="minorHAnsi" w:hAnsiTheme="minorHAnsi"/>
        </w:rPr>
        <w:t>Technical and financial feasibility (50 Points)</w:t>
      </w:r>
    </w:p>
    <w:p w14:paraId="34718F8D" w14:textId="77777777" w:rsidR="007B5BC8" w:rsidRPr="0043067E" w:rsidRDefault="007B5BC8" w:rsidP="007B5BC8">
      <w:pPr>
        <w:numPr>
          <w:ilvl w:val="1"/>
          <w:numId w:val="3"/>
        </w:numPr>
        <w:rPr>
          <w:rFonts w:asciiTheme="minorHAnsi" w:hAnsiTheme="minorHAnsi"/>
        </w:rPr>
      </w:pPr>
      <w:r w:rsidRPr="0043067E">
        <w:rPr>
          <w:rFonts w:asciiTheme="minorHAnsi" w:hAnsiTheme="minorHAnsi"/>
        </w:rPr>
        <w:t>Realistic project scope and funding plan is cost effective</w:t>
      </w:r>
    </w:p>
    <w:p w14:paraId="0825CBDE" w14:textId="77777777" w:rsidR="001000E1" w:rsidRPr="001000E1" w:rsidRDefault="001000E1" w:rsidP="007B5BC8">
      <w:pPr>
        <w:numPr>
          <w:ilvl w:val="1"/>
          <w:numId w:val="3"/>
        </w:numPr>
        <w:rPr>
          <w:rFonts w:asciiTheme="minorHAnsi" w:hAnsiTheme="minorHAnsi"/>
        </w:rPr>
      </w:pPr>
      <w:r w:rsidRPr="001000E1">
        <w:rPr>
          <w:rFonts w:asciiTheme="minorHAnsi" w:hAnsiTheme="minorHAnsi"/>
        </w:rPr>
        <w:t>Adopts a PHASED approach</w:t>
      </w:r>
      <w:r w:rsidRPr="001000E1">
        <w:rPr>
          <w:rFonts w:asciiTheme="minorHAnsi" w:hAnsiTheme="minorHAnsi"/>
        </w:rPr>
        <w:t xml:space="preserve"> </w:t>
      </w:r>
    </w:p>
    <w:p w14:paraId="039CDA0F" w14:textId="54A990D3" w:rsidR="007B5BC8" w:rsidRPr="0043067E" w:rsidRDefault="007B5BC8" w:rsidP="007B5BC8">
      <w:pPr>
        <w:numPr>
          <w:ilvl w:val="1"/>
          <w:numId w:val="3"/>
        </w:numPr>
        <w:rPr>
          <w:rFonts w:asciiTheme="minorHAnsi" w:hAnsiTheme="minorHAnsi"/>
        </w:rPr>
      </w:pPr>
      <w:r w:rsidRPr="0043067E">
        <w:rPr>
          <w:rFonts w:asciiTheme="minorHAnsi" w:hAnsiTheme="minorHAnsi"/>
        </w:rPr>
        <w:t>Schedule, milestones, deliverables of project.</w:t>
      </w:r>
    </w:p>
    <w:p w14:paraId="33663004" w14:textId="77777777" w:rsidR="007B5BC8" w:rsidRPr="0043067E" w:rsidRDefault="007B5BC8" w:rsidP="007B5BC8">
      <w:pPr>
        <w:ind w:left="1440"/>
        <w:rPr>
          <w:rFonts w:asciiTheme="minorHAnsi" w:hAnsiTheme="minorHAnsi"/>
        </w:rPr>
      </w:pPr>
    </w:p>
    <w:p w14:paraId="724CD6A0" w14:textId="77777777" w:rsidR="007B5BC8" w:rsidRPr="0043067E" w:rsidRDefault="007B5BC8" w:rsidP="007B5BC8">
      <w:pPr>
        <w:numPr>
          <w:ilvl w:val="0"/>
          <w:numId w:val="3"/>
        </w:numPr>
        <w:rPr>
          <w:rFonts w:asciiTheme="minorHAnsi" w:hAnsiTheme="minorHAnsi"/>
        </w:rPr>
      </w:pPr>
      <w:r w:rsidRPr="0043067E">
        <w:rPr>
          <w:rFonts w:asciiTheme="minorHAnsi" w:hAnsiTheme="minorHAnsi"/>
        </w:rPr>
        <w:t>University Benefits and Impact (50 Points)</w:t>
      </w:r>
    </w:p>
    <w:p w14:paraId="08D2BBC7" w14:textId="77777777" w:rsidR="007B5BC8" w:rsidRPr="0043067E" w:rsidRDefault="007B5BC8" w:rsidP="007B5BC8">
      <w:pPr>
        <w:numPr>
          <w:ilvl w:val="1"/>
          <w:numId w:val="3"/>
        </w:numPr>
        <w:rPr>
          <w:rFonts w:asciiTheme="minorHAnsi" w:hAnsiTheme="minorHAnsi"/>
        </w:rPr>
      </w:pPr>
      <w:r w:rsidRPr="0043067E">
        <w:rPr>
          <w:rFonts w:asciiTheme="minorHAnsi" w:hAnsiTheme="minorHAnsi"/>
        </w:rPr>
        <w:t>Contributions to resilience, sustainability, cost savings and student safety.</w:t>
      </w:r>
    </w:p>
    <w:p w14:paraId="177A7A51" w14:textId="77777777" w:rsidR="007B5BC8" w:rsidRPr="0043067E" w:rsidRDefault="007B5BC8" w:rsidP="007B5BC8">
      <w:pPr>
        <w:numPr>
          <w:ilvl w:val="1"/>
          <w:numId w:val="3"/>
        </w:numPr>
        <w:rPr>
          <w:rFonts w:asciiTheme="minorHAnsi" w:hAnsiTheme="minorHAnsi"/>
        </w:rPr>
      </w:pPr>
      <w:r w:rsidRPr="0043067E">
        <w:rPr>
          <w:rFonts w:asciiTheme="minorHAnsi" w:hAnsiTheme="minorHAnsi"/>
        </w:rPr>
        <w:t>Support from university leadership and partnerships with industry experts.</w:t>
      </w:r>
    </w:p>
    <w:p w14:paraId="50B331AB" w14:textId="77777777" w:rsidR="007B5BC8" w:rsidRPr="0043067E" w:rsidRDefault="007B5BC8" w:rsidP="007B5BC8">
      <w:pPr>
        <w:numPr>
          <w:ilvl w:val="1"/>
          <w:numId w:val="3"/>
        </w:numPr>
        <w:autoSpaceDE w:val="0"/>
        <w:autoSpaceDN w:val="0"/>
        <w:adjustRightInd w:val="0"/>
        <w:spacing w:line="240" w:lineRule="auto"/>
        <w:rPr>
          <w:rFonts w:asciiTheme="minorHAnsi" w:hAnsiTheme="minorHAnsi"/>
          <w:color w:val="000000"/>
        </w:rPr>
      </w:pPr>
      <w:r w:rsidRPr="0043067E">
        <w:rPr>
          <w:rFonts w:asciiTheme="minorHAnsi" w:hAnsiTheme="minorHAnsi"/>
        </w:rPr>
        <w:t>Cybersecurity considerations.</w:t>
      </w:r>
    </w:p>
    <w:p w14:paraId="05854876" w14:textId="77777777" w:rsidR="007B5BC8" w:rsidRPr="0043067E" w:rsidRDefault="007B5BC8" w:rsidP="007B5BC8">
      <w:pPr>
        <w:numPr>
          <w:ilvl w:val="1"/>
          <w:numId w:val="3"/>
        </w:numPr>
        <w:autoSpaceDE w:val="0"/>
        <w:autoSpaceDN w:val="0"/>
        <w:adjustRightInd w:val="0"/>
        <w:spacing w:line="240" w:lineRule="auto"/>
        <w:rPr>
          <w:rFonts w:asciiTheme="minorHAnsi" w:hAnsiTheme="minorHAnsi"/>
          <w:color w:val="000000"/>
        </w:rPr>
      </w:pPr>
      <w:r w:rsidRPr="0043067E">
        <w:rPr>
          <w:rFonts w:asciiTheme="minorHAnsi" w:hAnsiTheme="minorHAnsi"/>
          <w:color w:val="000000"/>
        </w:rPr>
        <w:t>Includes metrics for tracking project success and benefits.</w:t>
      </w:r>
    </w:p>
    <w:p w14:paraId="65399A73" w14:textId="77777777" w:rsidR="007B5BC8" w:rsidRPr="0043067E" w:rsidRDefault="007B5BC8" w:rsidP="007B5BC8">
      <w:pPr>
        <w:autoSpaceDE w:val="0"/>
        <w:autoSpaceDN w:val="0"/>
        <w:adjustRightInd w:val="0"/>
        <w:spacing w:line="240" w:lineRule="auto"/>
        <w:ind w:left="1440"/>
        <w:rPr>
          <w:rFonts w:asciiTheme="minorHAnsi" w:hAnsiTheme="minorHAnsi"/>
          <w:color w:val="000000"/>
        </w:rPr>
      </w:pPr>
    </w:p>
    <w:p w14:paraId="6DE727D5" w14:textId="77777777" w:rsidR="007B5BC8" w:rsidRPr="0043067E" w:rsidRDefault="007B5BC8" w:rsidP="007B5BC8">
      <w:pPr>
        <w:pStyle w:val="ListParagraph"/>
        <w:numPr>
          <w:ilvl w:val="0"/>
          <w:numId w:val="3"/>
        </w:numPr>
        <w:autoSpaceDE w:val="0"/>
        <w:autoSpaceDN w:val="0"/>
        <w:adjustRightInd w:val="0"/>
        <w:spacing w:line="240" w:lineRule="auto"/>
        <w:rPr>
          <w:rFonts w:asciiTheme="minorHAnsi" w:hAnsiTheme="minorHAnsi"/>
          <w:color w:val="000000"/>
        </w:rPr>
      </w:pPr>
      <w:r w:rsidRPr="0043067E">
        <w:rPr>
          <w:rFonts w:asciiTheme="minorHAnsi" w:hAnsiTheme="minorHAnsi"/>
        </w:rPr>
        <w:t>Community Benefits (50 Points)</w:t>
      </w:r>
    </w:p>
    <w:p w14:paraId="57F01276" w14:textId="77777777" w:rsidR="007B5BC8" w:rsidRPr="0043067E" w:rsidRDefault="007B5BC8" w:rsidP="007B5BC8">
      <w:pPr>
        <w:pStyle w:val="ListParagraph"/>
        <w:numPr>
          <w:ilvl w:val="1"/>
          <w:numId w:val="3"/>
        </w:numPr>
        <w:autoSpaceDE w:val="0"/>
        <w:autoSpaceDN w:val="0"/>
        <w:adjustRightInd w:val="0"/>
        <w:spacing w:after="20" w:line="240" w:lineRule="auto"/>
        <w:rPr>
          <w:rFonts w:asciiTheme="minorHAnsi" w:hAnsiTheme="minorHAnsi"/>
          <w:color w:val="000000"/>
        </w:rPr>
      </w:pPr>
      <w:r w:rsidRPr="0043067E">
        <w:rPr>
          <w:rFonts w:asciiTheme="minorHAnsi" w:hAnsiTheme="minorHAnsi"/>
          <w:color w:val="000000"/>
        </w:rPr>
        <w:t>Improved community resilience HUB</w:t>
      </w:r>
    </w:p>
    <w:p w14:paraId="30010AEA" w14:textId="77777777" w:rsidR="007B5BC8" w:rsidRPr="0043067E" w:rsidRDefault="007B5BC8" w:rsidP="007B5BC8">
      <w:pPr>
        <w:pStyle w:val="ListParagraph"/>
        <w:numPr>
          <w:ilvl w:val="1"/>
          <w:numId w:val="3"/>
        </w:numPr>
        <w:autoSpaceDE w:val="0"/>
        <w:autoSpaceDN w:val="0"/>
        <w:adjustRightInd w:val="0"/>
        <w:spacing w:after="20" w:line="240" w:lineRule="auto"/>
        <w:rPr>
          <w:rFonts w:asciiTheme="minorHAnsi" w:hAnsiTheme="minorHAnsi"/>
          <w:color w:val="000000"/>
        </w:rPr>
      </w:pPr>
      <w:r w:rsidRPr="0043067E">
        <w:rPr>
          <w:rFonts w:asciiTheme="minorHAnsi" w:hAnsiTheme="minorHAnsi"/>
          <w:color w:val="000000"/>
        </w:rPr>
        <w:t>Opportunities for increased environmental education and engagement.</w:t>
      </w:r>
    </w:p>
    <w:p w14:paraId="330C88E0" w14:textId="77777777" w:rsidR="007B5BC8" w:rsidRPr="0043067E" w:rsidRDefault="007B5BC8" w:rsidP="007B5BC8">
      <w:pPr>
        <w:pStyle w:val="ListParagraph"/>
        <w:widowControl w:val="0"/>
        <w:numPr>
          <w:ilvl w:val="1"/>
          <w:numId w:val="3"/>
        </w:numPr>
        <w:autoSpaceDE w:val="0"/>
        <w:autoSpaceDN w:val="0"/>
        <w:adjustRightInd w:val="0"/>
        <w:spacing w:line="240" w:lineRule="auto"/>
        <w:contextualSpacing w:val="0"/>
        <w:rPr>
          <w:rFonts w:asciiTheme="minorHAnsi" w:hAnsiTheme="minorHAnsi"/>
        </w:rPr>
      </w:pPr>
      <w:r w:rsidRPr="0043067E">
        <w:rPr>
          <w:rFonts w:asciiTheme="minorHAnsi" w:hAnsiTheme="minorHAnsi"/>
        </w:rPr>
        <w:t>Support for vulnerable or federally designated disadvantaged populations.</w:t>
      </w:r>
    </w:p>
    <w:p w14:paraId="02EBD95D" w14:textId="77777777" w:rsidR="007B5BC8" w:rsidRPr="0043067E" w:rsidRDefault="007B5BC8" w:rsidP="007B5BC8">
      <w:pPr>
        <w:pStyle w:val="ListParagraph"/>
        <w:numPr>
          <w:ilvl w:val="1"/>
          <w:numId w:val="3"/>
        </w:numPr>
        <w:autoSpaceDE w:val="0"/>
        <w:autoSpaceDN w:val="0"/>
        <w:adjustRightInd w:val="0"/>
        <w:spacing w:after="20" w:line="240" w:lineRule="auto"/>
        <w:rPr>
          <w:rFonts w:asciiTheme="minorHAnsi" w:hAnsiTheme="minorHAnsi"/>
          <w:color w:val="000000"/>
        </w:rPr>
      </w:pPr>
      <w:r w:rsidRPr="0043067E">
        <w:rPr>
          <w:rFonts w:asciiTheme="minorHAnsi" w:hAnsiTheme="minorHAnsi"/>
          <w:color w:val="000000"/>
        </w:rPr>
        <w:t>Community engagement plan and strategy.</w:t>
      </w:r>
    </w:p>
    <w:p w14:paraId="2CFE6C0D" w14:textId="77777777" w:rsidR="007B5BC8" w:rsidRPr="0043067E" w:rsidRDefault="007B5BC8" w:rsidP="007B5BC8">
      <w:pPr>
        <w:adjustRightInd w:val="0"/>
        <w:rPr>
          <w:rFonts w:asciiTheme="minorHAnsi" w:hAnsiTheme="minorHAnsi"/>
          <w:color w:val="000000"/>
        </w:rPr>
      </w:pPr>
    </w:p>
    <w:p w14:paraId="3783E918" w14:textId="77777777" w:rsidR="007B5BC8" w:rsidRPr="0043067E" w:rsidRDefault="007B5BC8" w:rsidP="007B5BC8">
      <w:pPr>
        <w:pStyle w:val="Default"/>
        <w:numPr>
          <w:ilvl w:val="0"/>
          <w:numId w:val="3"/>
        </w:numPr>
        <w:rPr>
          <w:rFonts w:asciiTheme="minorHAnsi" w:eastAsiaTheme="minorHAnsi" w:hAnsiTheme="minorHAnsi" w:cstheme="minorHAnsi"/>
          <w:sz w:val="22"/>
          <w:szCs w:val="22"/>
        </w:rPr>
      </w:pPr>
      <w:r w:rsidRPr="0043067E">
        <w:rPr>
          <w:rFonts w:asciiTheme="minorHAnsi" w:hAnsiTheme="minorHAnsi" w:cstheme="minorHAnsi"/>
          <w:sz w:val="22"/>
          <w:szCs w:val="22"/>
        </w:rPr>
        <w:t>Hazard Risks (50 Points)</w:t>
      </w:r>
    </w:p>
    <w:p w14:paraId="5A921B4E" w14:textId="77777777" w:rsidR="007B5BC8" w:rsidRPr="0043067E" w:rsidRDefault="007B5BC8" w:rsidP="007B5BC8">
      <w:pPr>
        <w:pStyle w:val="Default"/>
        <w:numPr>
          <w:ilvl w:val="1"/>
          <w:numId w:val="3"/>
        </w:numPr>
        <w:rPr>
          <w:rFonts w:asciiTheme="minorHAnsi" w:eastAsiaTheme="minorHAnsi" w:hAnsiTheme="minorHAnsi" w:cstheme="minorHAnsi"/>
          <w:sz w:val="22"/>
          <w:szCs w:val="22"/>
        </w:rPr>
      </w:pPr>
      <w:r w:rsidRPr="0043067E">
        <w:rPr>
          <w:rFonts w:asciiTheme="minorHAnsi" w:eastAsiaTheme="minorHAnsi" w:hAnsiTheme="minorHAnsi" w:cstheme="minorHAnsi"/>
          <w:sz w:val="22"/>
          <w:szCs w:val="22"/>
        </w:rPr>
        <w:t>Lesson impact from future disasters.</w:t>
      </w:r>
    </w:p>
    <w:p w14:paraId="322E5428" w14:textId="77777777" w:rsidR="007B5BC8" w:rsidRPr="0043067E" w:rsidRDefault="007B5BC8" w:rsidP="007B5BC8">
      <w:pPr>
        <w:pStyle w:val="Default"/>
        <w:numPr>
          <w:ilvl w:val="1"/>
          <w:numId w:val="3"/>
        </w:numPr>
        <w:rPr>
          <w:rFonts w:asciiTheme="minorHAnsi" w:eastAsiaTheme="minorHAnsi" w:hAnsiTheme="minorHAnsi" w:cstheme="minorHAnsi"/>
          <w:sz w:val="22"/>
          <w:szCs w:val="22"/>
        </w:rPr>
      </w:pPr>
      <w:r w:rsidRPr="0043067E">
        <w:rPr>
          <w:rFonts w:asciiTheme="minorHAnsi" w:eastAsiaTheme="minorHAnsi" w:hAnsiTheme="minorHAnsi" w:cstheme="minorHAnsi"/>
          <w:sz w:val="22"/>
          <w:szCs w:val="22"/>
        </w:rPr>
        <w:t>Coordination with local electric utility.</w:t>
      </w:r>
    </w:p>
    <w:p w14:paraId="365F4DAF" w14:textId="0A0150BF" w:rsidR="007B5BC8" w:rsidRPr="0043067E" w:rsidRDefault="007B5BC8" w:rsidP="007B5BC8">
      <w:pPr>
        <w:pStyle w:val="Default"/>
        <w:numPr>
          <w:ilvl w:val="1"/>
          <w:numId w:val="3"/>
        </w:numPr>
        <w:rPr>
          <w:rFonts w:asciiTheme="minorHAnsi" w:eastAsiaTheme="minorHAnsi" w:hAnsiTheme="minorHAnsi" w:cstheme="minorHAnsi"/>
          <w:sz w:val="22"/>
          <w:szCs w:val="22"/>
        </w:rPr>
      </w:pPr>
      <w:r w:rsidRPr="0043067E">
        <w:rPr>
          <w:rFonts w:asciiTheme="minorHAnsi" w:eastAsiaTheme="minorHAnsi" w:hAnsiTheme="minorHAnsi" w:cstheme="minorHAnsi"/>
          <w:sz w:val="22"/>
          <w:szCs w:val="22"/>
        </w:rPr>
        <w:t>Impacted by disasters over last 5 years</w:t>
      </w:r>
      <w:r w:rsidR="0043067E" w:rsidRPr="0043067E">
        <w:rPr>
          <w:rFonts w:asciiTheme="minorHAnsi" w:eastAsiaTheme="minorHAnsi" w:hAnsiTheme="minorHAnsi" w:cstheme="minorHAnsi"/>
          <w:sz w:val="22"/>
          <w:szCs w:val="22"/>
        </w:rPr>
        <w:t>.</w:t>
      </w:r>
    </w:p>
    <w:p w14:paraId="01341389" w14:textId="77777777" w:rsidR="007B5BC8" w:rsidRPr="0043067E" w:rsidRDefault="007B5BC8" w:rsidP="007B5BC8">
      <w:pPr>
        <w:pStyle w:val="Default"/>
        <w:ind w:left="720"/>
        <w:rPr>
          <w:rFonts w:asciiTheme="minorHAnsi" w:eastAsiaTheme="minorHAnsi" w:hAnsiTheme="minorHAnsi" w:cstheme="minorHAnsi"/>
          <w:sz w:val="22"/>
          <w:szCs w:val="22"/>
        </w:rPr>
      </w:pPr>
    </w:p>
    <w:p w14:paraId="45DE23E5" w14:textId="77777777" w:rsidR="007B5BC8" w:rsidRPr="0043067E" w:rsidRDefault="007B5BC8" w:rsidP="007B5BC8">
      <w:pPr>
        <w:pStyle w:val="Default"/>
        <w:numPr>
          <w:ilvl w:val="0"/>
          <w:numId w:val="4"/>
        </w:numPr>
        <w:rPr>
          <w:rFonts w:asciiTheme="minorHAnsi" w:eastAsiaTheme="minorHAnsi" w:hAnsiTheme="minorHAnsi" w:cstheme="minorHAnsi"/>
          <w:sz w:val="22"/>
          <w:szCs w:val="22"/>
        </w:rPr>
      </w:pPr>
      <w:r w:rsidRPr="0043067E">
        <w:rPr>
          <w:rFonts w:asciiTheme="minorHAnsi" w:hAnsiTheme="minorHAnsi" w:cstheme="minorHAnsi"/>
          <w:sz w:val="22"/>
          <w:szCs w:val="22"/>
        </w:rPr>
        <w:t>Budget and Leveraged funding (50 Points)</w:t>
      </w:r>
    </w:p>
    <w:p w14:paraId="7613D9B6" w14:textId="77777777" w:rsidR="007B5BC8" w:rsidRPr="0043067E" w:rsidRDefault="007B5BC8" w:rsidP="007B5BC8">
      <w:pPr>
        <w:pStyle w:val="Default"/>
        <w:numPr>
          <w:ilvl w:val="1"/>
          <w:numId w:val="4"/>
        </w:numPr>
        <w:rPr>
          <w:rFonts w:asciiTheme="minorHAnsi" w:eastAsiaTheme="minorHAnsi" w:hAnsiTheme="minorHAnsi" w:cstheme="minorHAnsi"/>
          <w:sz w:val="22"/>
          <w:szCs w:val="22"/>
        </w:rPr>
      </w:pPr>
      <w:r w:rsidRPr="0043067E">
        <w:rPr>
          <w:rFonts w:asciiTheme="minorHAnsi" w:hAnsiTheme="minorHAnsi" w:cstheme="minorHAnsi"/>
          <w:sz w:val="22"/>
          <w:szCs w:val="22"/>
        </w:rPr>
        <w:t xml:space="preserve">Justification for each expense category shall be provided in the Detail Budget Narrative.  Project budget will be evaluated and scored for reasonableness by comparing cost vs. benefits of the overall application. </w:t>
      </w:r>
    </w:p>
    <w:p w14:paraId="3EB7F939" w14:textId="2052B9CD" w:rsidR="00AB7ACA" w:rsidRPr="0043067E" w:rsidRDefault="0043067E" w:rsidP="00781079">
      <w:pPr>
        <w:pStyle w:val="Default"/>
        <w:numPr>
          <w:ilvl w:val="1"/>
          <w:numId w:val="4"/>
        </w:numPr>
      </w:pPr>
      <w:r w:rsidRPr="00781079">
        <w:rPr>
          <w:rFonts w:asciiTheme="minorHAnsi" w:eastAsiaTheme="minorHAnsi" w:hAnsiTheme="minorHAnsi" w:cstheme="minorHAnsi"/>
          <w:sz w:val="22"/>
          <w:szCs w:val="22"/>
        </w:rPr>
        <w:t>F</w:t>
      </w:r>
      <w:r w:rsidR="007B5BC8" w:rsidRPr="00781079">
        <w:rPr>
          <w:rFonts w:asciiTheme="minorHAnsi" w:eastAsiaTheme="minorHAnsi" w:hAnsiTheme="minorHAnsi" w:cstheme="minorHAnsi"/>
          <w:sz w:val="22"/>
          <w:szCs w:val="22"/>
        </w:rPr>
        <w:t>unding leveraged to secure additional funding to complete the project</w:t>
      </w:r>
      <w:r w:rsidRPr="00781079">
        <w:rPr>
          <w:rFonts w:asciiTheme="minorHAnsi" w:eastAsiaTheme="minorHAnsi" w:hAnsiTheme="minorHAnsi" w:cstheme="minorHAnsi"/>
          <w:sz w:val="22"/>
          <w:szCs w:val="22"/>
        </w:rPr>
        <w:t>.</w:t>
      </w:r>
    </w:p>
    <w:sectPr w:rsidR="00AB7ACA" w:rsidRPr="0043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5F99"/>
    <w:multiLevelType w:val="hybridMultilevel"/>
    <w:tmpl w:val="6186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075DE"/>
    <w:multiLevelType w:val="multilevel"/>
    <w:tmpl w:val="3B0E1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35375A5"/>
    <w:multiLevelType w:val="hybridMultilevel"/>
    <w:tmpl w:val="1B9EF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42ADA"/>
    <w:multiLevelType w:val="multilevel"/>
    <w:tmpl w:val="63C2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4569681">
    <w:abstractNumId w:val="3"/>
  </w:num>
  <w:num w:numId="2" w16cid:durableId="412701764">
    <w:abstractNumId w:val="1"/>
  </w:num>
  <w:num w:numId="3" w16cid:durableId="132334426">
    <w:abstractNumId w:val="2"/>
  </w:num>
  <w:num w:numId="4" w16cid:durableId="210595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DA"/>
    <w:rsid w:val="0009388F"/>
    <w:rsid w:val="001000E1"/>
    <w:rsid w:val="002E1F11"/>
    <w:rsid w:val="0043067E"/>
    <w:rsid w:val="00781079"/>
    <w:rsid w:val="007B5BC8"/>
    <w:rsid w:val="00827218"/>
    <w:rsid w:val="008404DA"/>
    <w:rsid w:val="009F4EF2"/>
    <w:rsid w:val="00AB7ACA"/>
    <w:rsid w:val="00B96AF9"/>
    <w:rsid w:val="00C21EDB"/>
    <w:rsid w:val="00D65017"/>
    <w:rsid w:val="00EF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EE8E"/>
  <w15:chartTrackingRefBased/>
  <w15:docId w15:val="{81693614-BA0E-4FAE-8CF5-9F162F3E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DA"/>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40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0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4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4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4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4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4DA"/>
    <w:rPr>
      <w:rFonts w:eastAsiaTheme="majorEastAsia" w:cstheme="majorBidi"/>
      <w:color w:val="272727" w:themeColor="text1" w:themeTint="D8"/>
    </w:rPr>
  </w:style>
  <w:style w:type="paragraph" w:styleId="Title">
    <w:name w:val="Title"/>
    <w:basedOn w:val="Normal"/>
    <w:next w:val="Normal"/>
    <w:link w:val="TitleChar"/>
    <w:uiPriority w:val="10"/>
    <w:qFormat/>
    <w:rsid w:val="00840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4DA"/>
    <w:pPr>
      <w:spacing w:before="160"/>
      <w:jc w:val="center"/>
    </w:pPr>
    <w:rPr>
      <w:i/>
      <w:iCs/>
      <w:color w:val="404040" w:themeColor="text1" w:themeTint="BF"/>
    </w:rPr>
  </w:style>
  <w:style w:type="character" w:customStyle="1" w:styleId="QuoteChar">
    <w:name w:val="Quote Char"/>
    <w:basedOn w:val="DefaultParagraphFont"/>
    <w:link w:val="Quote"/>
    <w:uiPriority w:val="29"/>
    <w:rsid w:val="008404DA"/>
    <w:rPr>
      <w:i/>
      <w:iCs/>
      <w:color w:val="404040" w:themeColor="text1" w:themeTint="BF"/>
    </w:rPr>
  </w:style>
  <w:style w:type="paragraph" w:styleId="ListParagraph">
    <w:name w:val="List Paragraph"/>
    <w:basedOn w:val="Normal"/>
    <w:uiPriority w:val="34"/>
    <w:qFormat/>
    <w:rsid w:val="008404DA"/>
    <w:pPr>
      <w:ind w:left="720"/>
      <w:contextualSpacing/>
    </w:pPr>
  </w:style>
  <w:style w:type="character" w:styleId="IntenseEmphasis">
    <w:name w:val="Intense Emphasis"/>
    <w:basedOn w:val="DefaultParagraphFont"/>
    <w:uiPriority w:val="21"/>
    <w:qFormat/>
    <w:rsid w:val="008404DA"/>
    <w:rPr>
      <w:i/>
      <w:iCs/>
      <w:color w:val="0F4761" w:themeColor="accent1" w:themeShade="BF"/>
    </w:rPr>
  </w:style>
  <w:style w:type="paragraph" w:styleId="IntenseQuote">
    <w:name w:val="Intense Quote"/>
    <w:basedOn w:val="Normal"/>
    <w:next w:val="Normal"/>
    <w:link w:val="IntenseQuoteChar"/>
    <w:uiPriority w:val="30"/>
    <w:qFormat/>
    <w:rsid w:val="00840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4DA"/>
    <w:rPr>
      <w:i/>
      <w:iCs/>
      <w:color w:val="0F4761" w:themeColor="accent1" w:themeShade="BF"/>
    </w:rPr>
  </w:style>
  <w:style w:type="character" w:styleId="IntenseReference">
    <w:name w:val="Intense Reference"/>
    <w:basedOn w:val="DefaultParagraphFont"/>
    <w:uiPriority w:val="32"/>
    <w:qFormat/>
    <w:rsid w:val="008404DA"/>
    <w:rPr>
      <w:b/>
      <w:bCs/>
      <w:smallCaps/>
      <w:color w:val="0F4761" w:themeColor="accent1" w:themeShade="BF"/>
      <w:spacing w:val="5"/>
    </w:rPr>
  </w:style>
  <w:style w:type="paragraph" w:customStyle="1" w:styleId="Default">
    <w:name w:val="Default"/>
    <w:rsid w:val="007B5BC8"/>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3E79FFE9CDD4F85ECA9EF1EC00B83" ma:contentTypeVersion="2" ma:contentTypeDescription="Create a new document." ma:contentTypeScope="" ma:versionID="2e3e7a36cf427731892b244b5b65a1e6">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695D0D-557F-45C4-98F5-2357F965904F}"/>
</file>

<file path=customXml/itemProps2.xml><?xml version="1.0" encoding="utf-8"?>
<ds:datastoreItem xmlns:ds="http://schemas.openxmlformats.org/officeDocument/2006/customXml" ds:itemID="{A6604EF7-7858-4956-8FBE-219D86C31879}"/>
</file>

<file path=customXml/itemProps3.xml><?xml version="1.0" encoding="utf-8"?>
<ds:datastoreItem xmlns:ds="http://schemas.openxmlformats.org/officeDocument/2006/customXml" ds:itemID="{A9EEE518-2CB8-492B-8ABC-0117E743DB36}"/>
</file>

<file path=docProps/app.xml><?xml version="1.0" encoding="utf-8"?>
<Properties xmlns="http://schemas.openxmlformats.org/officeDocument/2006/extended-properties" xmlns:vt="http://schemas.openxmlformats.org/officeDocument/2006/docPropsVTypes">
  <Template>Normal</Template>
  <TotalTime>17</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Technology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LeMaster, Amanda B (EEC)</dc:creator>
  <cp:keywords/>
  <dc:description/>
  <cp:lastModifiedBy>LeMaster, Amanda B (EEC)</cp:lastModifiedBy>
  <cp:revision>5</cp:revision>
  <cp:lastPrinted>2025-06-30T19:50:00Z</cp:lastPrinted>
  <dcterms:created xsi:type="dcterms:W3CDTF">2025-03-11T16:55:00Z</dcterms:created>
  <dcterms:modified xsi:type="dcterms:W3CDTF">2025-06-30T19:51:00Z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0x010100F5A3E79FFE9CDD4F85ECA9EF1EC00B83</vt:lpwstr>
  </property>
</Properties>
</file>