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 xml:space="preserve">Facility Name: </w:t>
      </w:r>
      <w:sdt>
        <w:sdtPr>
          <w:rPr>
            <w:b/>
            <w:sz w:val="24"/>
            <w:szCs w:val="24"/>
          </w:rPr>
          <w:id w:val="-1680574675"/>
          <w:placeholder>
            <w:docPart w:val="DefaultPlaceholder_1081868574"/>
          </w:placeholder>
          <w:showingPlcHdr/>
        </w:sdtPr>
        <w:sdtContent>
          <w:r w:rsidR="00B5236C" w:rsidRPr="00367E7F">
            <w:rPr>
              <w:rStyle w:val="PlaceholderText"/>
            </w:rPr>
            <w:t>Click here to enter text.</w:t>
          </w:r>
        </w:sdtContent>
      </w:sdt>
    </w:p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>EPA ID</w:t>
      </w:r>
      <w:proofErr w:type="gramStart"/>
      <w:r w:rsidRPr="00631B48">
        <w:rPr>
          <w:b/>
          <w:sz w:val="24"/>
          <w:szCs w:val="24"/>
        </w:rPr>
        <w:t>:</w:t>
      </w:r>
      <w:proofErr w:type="gramEnd"/>
      <w:sdt>
        <w:sdtPr>
          <w:rPr>
            <w:b/>
            <w:sz w:val="24"/>
            <w:szCs w:val="24"/>
          </w:rPr>
          <w:id w:val="-253748294"/>
          <w:placeholder>
            <w:docPart w:val="DefaultPlaceholder_1081868574"/>
          </w:placeholder>
          <w:showingPlcHdr/>
        </w:sdtPr>
        <w:sdtContent>
          <w:r w:rsidR="00B5236C" w:rsidRPr="00367E7F">
            <w:rPr>
              <w:rStyle w:val="PlaceholderText"/>
            </w:rPr>
            <w:t>Click here to enter text.</w:t>
          </w:r>
        </w:sdtContent>
      </w:sdt>
    </w:p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>Agency Interest ID</w:t>
      </w:r>
      <w:proofErr w:type="gramStart"/>
      <w:r w:rsidRPr="00631B48">
        <w:rPr>
          <w:b/>
          <w:sz w:val="24"/>
          <w:szCs w:val="24"/>
        </w:rPr>
        <w:t>:</w:t>
      </w:r>
      <w:proofErr w:type="gramEnd"/>
      <w:sdt>
        <w:sdtPr>
          <w:rPr>
            <w:b/>
            <w:sz w:val="24"/>
            <w:szCs w:val="24"/>
          </w:rPr>
          <w:id w:val="101004977"/>
          <w:placeholder>
            <w:docPart w:val="DefaultPlaceholder_1081868574"/>
          </w:placeholder>
          <w:showingPlcHdr/>
        </w:sdtPr>
        <w:sdtContent>
          <w:r w:rsidR="00B5236C" w:rsidRPr="00367E7F">
            <w:rPr>
              <w:rStyle w:val="PlaceholderText"/>
            </w:rPr>
            <w:t>Click here to enter text.</w:t>
          </w:r>
        </w:sdtContent>
      </w:sdt>
    </w:p>
    <w:p w:rsidR="00F2337E" w:rsidRDefault="00F2337E" w:rsidP="00E12588">
      <w:pPr>
        <w:ind w:left="1440" w:hanging="1440"/>
        <w:rPr>
          <w:b/>
        </w:rPr>
      </w:pPr>
    </w:p>
    <w:p w:rsidR="00D61399" w:rsidRDefault="00E12588" w:rsidP="00D61399">
      <w:pPr>
        <w:ind w:left="1440" w:hanging="1440"/>
      </w:pPr>
      <w:r w:rsidRPr="00E12588">
        <w:rPr>
          <w:b/>
        </w:rPr>
        <w:t xml:space="preserve">Instructions: </w:t>
      </w:r>
      <w:r>
        <w:rPr>
          <w:b/>
        </w:rPr>
        <w:tab/>
      </w:r>
      <w:r>
        <w:t xml:space="preserve">In order to help expedite the review process, </w:t>
      </w:r>
      <w:r w:rsidR="00527E20">
        <w:t>p</w:t>
      </w:r>
      <w:r>
        <w:t>lease submit the following</w:t>
      </w:r>
      <w:r w:rsidR="00527E20">
        <w:t xml:space="preserve"> with the permit application</w:t>
      </w:r>
      <w:r>
        <w:t>:</w:t>
      </w:r>
    </w:p>
    <w:p w:rsidR="00B40C87" w:rsidRDefault="006B3898" w:rsidP="00D61399">
      <w:pPr>
        <w:ind w:left="1440"/>
      </w:pPr>
      <w:r w:rsidRPr="006B3898">
        <w:t xml:space="preserve">Part </w:t>
      </w:r>
      <w:r w:rsidR="00C730D5">
        <w:t>D</w:t>
      </w:r>
      <w:r w:rsidRPr="006B3898">
        <w:t xml:space="preserve"> – </w:t>
      </w:r>
      <w:r w:rsidR="00C730D5">
        <w:t xml:space="preserve">Process Information </w:t>
      </w:r>
      <w:r w:rsidR="00CD05C3">
        <w:t>–</w:t>
      </w:r>
      <w:r w:rsidR="00C730D5">
        <w:t xml:space="preserve"> </w:t>
      </w:r>
      <w:r w:rsidR="00CD05C3">
        <w:t>Miscellaneous Units</w:t>
      </w:r>
      <w:r w:rsidRPr="006B3898">
        <w:t xml:space="preserve"> Checklist. Columns “Submitted” and “Location in Application” </w:t>
      </w:r>
      <w:r w:rsidR="005B5022">
        <w:t>must</w:t>
      </w:r>
      <w:r w:rsidRPr="006B3898">
        <w:t xml:space="preserve"> be completed by the applicant. Failure to do so may result in an Administrative Notice of Deficiency by the Division. </w:t>
      </w:r>
      <w:r w:rsidR="00D61399">
        <w:t xml:space="preserve">The “Technically Adequate” column is for use by KDWM staff.  </w:t>
      </w:r>
    </w:p>
    <w:p w:rsidR="00F40B96" w:rsidRDefault="00F40B96" w:rsidP="00E12588"/>
    <w:p w:rsidR="00B40C87" w:rsidRPr="00B40C87" w:rsidRDefault="00464B35" w:rsidP="00464B35">
      <w:pPr>
        <w:ind w:left="720" w:firstLine="720"/>
        <w:rPr>
          <w:i/>
        </w:rPr>
      </w:pPr>
      <w:r>
        <w:rPr>
          <w:i/>
        </w:rPr>
        <w:t>*</w:t>
      </w:r>
      <w:r w:rsidR="00B40C87" w:rsidRPr="00B40C87">
        <w:rPr>
          <w:i/>
        </w:rPr>
        <w:t>Notes: Y for Yes. N for No. NA for Not Applicable</w:t>
      </w:r>
      <w:r w:rsidR="00B40C87">
        <w:rPr>
          <w:i/>
        </w:rPr>
        <w:t>.</w:t>
      </w:r>
      <w:r w:rsidR="00B40C87" w:rsidRPr="00B40C87">
        <w:rPr>
          <w:i/>
        </w:rPr>
        <w:t xml:space="preserve"> </w:t>
      </w:r>
    </w:p>
    <w:p w:rsidR="00E12588" w:rsidRDefault="00E12588" w:rsidP="00E12588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620"/>
        <w:gridCol w:w="1170"/>
        <w:gridCol w:w="1260"/>
        <w:gridCol w:w="1260"/>
        <w:gridCol w:w="4590"/>
      </w:tblGrid>
      <w:tr w:rsidR="00CB23E5" w:rsidTr="00D25A40">
        <w:trPr>
          <w:trHeight w:val="818"/>
          <w:tblHeader/>
        </w:trPr>
        <w:tc>
          <w:tcPr>
            <w:tcW w:w="5040" w:type="dxa"/>
            <w:gridSpan w:val="2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Section and Requirement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:rsidR="007C3C06" w:rsidRDefault="007C3C06" w:rsidP="000B33B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Regulation</w:t>
            </w:r>
          </w:p>
          <w:p w:rsidR="0001754B" w:rsidRPr="00CB23E5" w:rsidRDefault="0001754B" w:rsidP="000B33B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(Federal or State)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Submitted</w:t>
            </w:r>
          </w:p>
          <w:p w:rsidR="007C3C06" w:rsidRPr="00464B35" w:rsidRDefault="007C3C06" w:rsidP="00D930C1">
            <w:pPr>
              <w:jc w:val="center"/>
              <w:rPr>
                <w:rFonts w:ascii="Arial Narrow" w:hAnsi="Arial Narrow"/>
                <w:i/>
                <w:vertAlign w:val="superscript"/>
              </w:rPr>
            </w:pPr>
            <w:r w:rsidRPr="00CB23E5">
              <w:rPr>
                <w:rFonts w:ascii="Arial Narrow" w:hAnsi="Arial Narrow"/>
                <w:i/>
              </w:rPr>
              <w:t>(Y/N/NA)</w:t>
            </w:r>
            <w:r w:rsidR="00464B35">
              <w:rPr>
                <w:rFonts w:ascii="Arial Narrow" w:hAnsi="Arial Narrow"/>
                <w:i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7C3C06" w:rsidRPr="00CB23E5" w:rsidRDefault="00BB40F8" w:rsidP="002137E0">
            <w:pPr>
              <w:jc w:val="center"/>
              <w:rPr>
                <w:rFonts w:ascii="Arial Narrow" w:hAnsi="Arial Narrow"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Location in Application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BB40F8" w:rsidRPr="00CB23E5" w:rsidRDefault="00BB40F8" w:rsidP="00BB40F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Technically Adequate</w:t>
            </w:r>
          </w:p>
          <w:p w:rsidR="007C3C06" w:rsidRPr="00464B35" w:rsidRDefault="00BB40F8" w:rsidP="00BB40F8">
            <w:pPr>
              <w:jc w:val="center"/>
              <w:rPr>
                <w:rFonts w:ascii="Arial Narrow" w:hAnsi="Arial Narrow"/>
                <w:b/>
                <w:i/>
                <w:vertAlign w:val="superscript"/>
              </w:rPr>
            </w:pPr>
            <w:r w:rsidRPr="00CB23E5">
              <w:rPr>
                <w:rFonts w:ascii="Arial Narrow" w:hAnsi="Arial Narrow"/>
                <w:i/>
              </w:rPr>
              <w:t>(Y/N)</w:t>
            </w:r>
            <w:r w:rsidR="00464B35">
              <w:rPr>
                <w:rFonts w:ascii="Arial Narrow" w:hAnsi="Arial Narrow"/>
                <w:i/>
                <w:vertAlign w:val="superscript"/>
              </w:rPr>
              <w:t>*</w:t>
            </w:r>
          </w:p>
        </w:tc>
        <w:tc>
          <w:tcPr>
            <w:tcW w:w="4590" w:type="dxa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Comments</w:t>
            </w:r>
          </w:p>
        </w:tc>
      </w:tr>
      <w:tr w:rsidR="00DE539B" w:rsidTr="004D2811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DE539B" w:rsidRPr="00B04C62" w:rsidRDefault="00B04C62" w:rsidP="00B74B5D">
            <w:pPr>
              <w:ind w:left="337" w:hanging="337"/>
              <w:rPr>
                <w:rFonts w:ascii="Arial Narrow" w:hAnsi="Arial Narrow"/>
                <w:b/>
              </w:rPr>
            </w:pPr>
            <w:r w:rsidRPr="00B04C62">
              <w:rPr>
                <w:rFonts w:ascii="Arial Narrow" w:hAnsi="Arial Narrow"/>
                <w:b/>
              </w:rPr>
              <w:t>D.1</w:t>
            </w:r>
          </w:p>
        </w:tc>
        <w:tc>
          <w:tcPr>
            <w:tcW w:w="4500" w:type="dxa"/>
          </w:tcPr>
          <w:p w:rsidR="00DE539B" w:rsidRDefault="004D2811" w:rsidP="00DE5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Miscellaneous Units</w:t>
            </w:r>
          </w:p>
          <w:p w:rsidR="00CC6758" w:rsidRDefault="00CC6758" w:rsidP="00DE539B">
            <w:pPr>
              <w:rPr>
                <w:rFonts w:ascii="Arial Narrow" w:hAnsi="Arial Narrow"/>
              </w:rPr>
            </w:pPr>
          </w:p>
          <w:p w:rsidR="00DE539B" w:rsidRDefault="00CD05C3" w:rsidP="00DE53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Identify all miscellaneous units that treat, store, or dispose of hazardous waste at the facility, but do not fit the current definition of container, tank, incinerator, etc. </w:t>
            </w:r>
          </w:p>
          <w:p w:rsidR="001A34D2" w:rsidRPr="00DE539B" w:rsidRDefault="001A34D2" w:rsidP="00DE539B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DE539B" w:rsidRDefault="00CD05C3" w:rsidP="00980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270.23; 264.601</w:t>
            </w:r>
          </w:p>
        </w:tc>
        <w:sdt>
          <w:sdtPr>
            <w:rPr>
              <w:rFonts w:ascii="Arial Narrow" w:hAnsi="Arial Narrow"/>
              <w:b/>
            </w:rPr>
            <w:id w:val="1876434025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DE539B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854855096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DE539B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DE539B" w:rsidRPr="00E865B8" w:rsidRDefault="00DE539B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1683120774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DE539B" w:rsidRPr="00DE539B" w:rsidRDefault="00B5236C" w:rsidP="00C70051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D2811" w:rsidTr="00522271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4D2811" w:rsidRPr="00B04C62" w:rsidRDefault="004D2811" w:rsidP="00B74B5D">
            <w:pPr>
              <w:ind w:left="337" w:hanging="3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D.2</w:t>
            </w:r>
          </w:p>
        </w:tc>
        <w:tc>
          <w:tcPr>
            <w:tcW w:w="4500" w:type="dxa"/>
            <w:tcBorders>
              <w:bottom w:val="nil"/>
            </w:tcBorders>
          </w:tcPr>
          <w:p w:rsidR="004D2811" w:rsidRDefault="004D2811" w:rsidP="00DE539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Description</w:t>
            </w:r>
          </w:p>
          <w:p w:rsidR="004D2811" w:rsidRDefault="004D2811" w:rsidP="00DE539B">
            <w:pPr>
              <w:rPr>
                <w:rFonts w:ascii="Arial Narrow" w:hAnsi="Arial Narrow"/>
                <w:b/>
              </w:rPr>
            </w:pPr>
          </w:p>
          <w:p w:rsidR="004D2811" w:rsidRDefault="004D2811" w:rsidP="00DE539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 a descript</w:t>
            </w:r>
            <w:r w:rsidR="00A3053B">
              <w:rPr>
                <w:rFonts w:ascii="Arial Narrow" w:hAnsi="Arial Narrow"/>
              </w:rPr>
              <w:t>ion for each miscellaneous unit</w:t>
            </w:r>
            <w:r>
              <w:rPr>
                <w:rFonts w:ascii="Arial Narrow" w:hAnsi="Arial Narrow"/>
              </w:rPr>
              <w:t xml:space="preserve"> identified in </w:t>
            </w:r>
            <w:r w:rsidR="00487114" w:rsidRPr="00487114">
              <w:rPr>
                <w:rFonts w:ascii="Arial Narrow" w:hAnsi="Arial Narrow"/>
                <w:i/>
              </w:rPr>
              <w:t>C</w:t>
            </w:r>
            <w:r w:rsidRPr="00487114">
              <w:rPr>
                <w:rFonts w:ascii="Arial Narrow" w:hAnsi="Arial Narrow"/>
                <w:i/>
              </w:rPr>
              <w:t>hecklist</w:t>
            </w:r>
            <w:r>
              <w:rPr>
                <w:rFonts w:ascii="Arial Narrow" w:hAnsi="Arial Narrow"/>
              </w:rPr>
              <w:t xml:space="preserve"> </w:t>
            </w:r>
            <w:r w:rsidRPr="004D2811">
              <w:rPr>
                <w:rFonts w:ascii="Arial Narrow" w:hAnsi="Arial Narrow"/>
                <w:i/>
              </w:rPr>
              <w:t>D.1</w:t>
            </w:r>
            <w:r>
              <w:rPr>
                <w:rFonts w:ascii="Arial Narrow" w:hAnsi="Arial Narrow"/>
              </w:rPr>
              <w:t xml:space="preserve"> above. The description should include, at the minimum, the following information:</w:t>
            </w:r>
          </w:p>
          <w:p w:rsidR="004D2811" w:rsidRPr="004D2811" w:rsidRDefault="004D2811" w:rsidP="00DE539B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4D2811" w:rsidRDefault="004D2811" w:rsidP="00980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270.23(a)</w:t>
            </w:r>
            <w:r w:rsidR="00A3053B">
              <w:rPr>
                <w:rFonts w:ascii="Arial Narrow" w:hAnsi="Arial Narrow"/>
              </w:rPr>
              <w:t>; 270.23(d)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4D2811" w:rsidRPr="00E865B8" w:rsidRDefault="004D281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4D2811" w:rsidRPr="00E865B8" w:rsidRDefault="004D281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</w:tcPr>
          <w:p w:rsidR="004D2811" w:rsidRPr="00E865B8" w:rsidRDefault="004D281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</w:tcPr>
          <w:p w:rsidR="004D2811" w:rsidRPr="00DE539B" w:rsidRDefault="004D2811" w:rsidP="00C70051">
            <w:pPr>
              <w:rPr>
                <w:rFonts w:ascii="Arial Narrow" w:hAnsi="Arial Narrow"/>
                <w:i/>
              </w:rPr>
            </w:pPr>
          </w:p>
        </w:tc>
      </w:tr>
      <w:tr w:rsidR="00375D5A" w:rsidTr="00F07CC7">
        <w:tc>
          <w:tcPr>
            <w:tcW w:w="540" w:type="dxa"/>
            <w:tcBorders>
              <w:top w:val="nil"/>
              <w:bottom w:val="nil"/>
            </w:tcBorders>
          </w:tcPr>
          <w:p w:rsidR="00375D5A" w:rsidRDefault="00375D5A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375D5A" w:rsidRPr="00375D5A" w:rsidRDefault="00375D5A" w:rsidP="00522271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</w:rPr>
            </w:pPr>
            <w:r w:rsidRPr="00375D5A">
              <w:rPr>
                <w:rFonts w:ascii="Arial Narrow" w:hAnsi="Arial Narrow"/>
              </w:rPr>
              <w:t>Physical characteristics, materials of construction, and dimensions of the unit</w:t>
            </w:r>
            <w:r w:rsidR="00F07CC7"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</w:tcPr>
          <w:p w:rsidR="00375D5A" w:rsidRDefault="00375D5A" w:rsidP="00980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270.23(a)(1)</w:t>
            </w:r>
          </w:p>
        </w:tc>
        <w:sdt>
          <w:sdtPr>
            <w:rPr>
              <w:rFonts w:ascii="Arial Narrow" w:hAnsi="Arial Narrow"/>
              <w:b/>
            </w:rPr>
            <w:id w:val="-1452629683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shd w:val="clear" w:color="auto" w:fill="auto"/>
              </w:tcPr>
              <w:p w:rsidR="00375D5A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834645327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shd w:val="clear" w:color="auto" w:fill="auto"/>
              </w:tcPr>
              <w:p w:rsidR="00375D5A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375D5A" w:rsidRPr="00E865B8" w:rsidRDefault="00375D5A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2132585690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</w:tcPr>
              <w:p w:rsidR="00375D5A" w:rsidRPr="00DE539B" w:rsidRDefault="00B5236C" w:rsidP="00C70051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7CC7" w:rsidTr="000064F4">
        <w:tc>
          <w:tcPr>
            <w:tcW w:w="540" w:type="dxa"/>
            <w:tcBorders>
              <w:top w:val="nil"/>
              <w:bottom w:val="nil"/>
            </w:tcBorders>
          </w:tcPr>
          <w:p w:rsidR="00F07CC7" w:rsidRDefault="00F07CC7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F919BF" w:rsidRDefault="00F07CC7" w:rsidP="00522271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F07CC7">
              <w:rPr>
                <w:rFonts w:ascii="Arial Narrow" w:hAnsi="Arial Narrow"/>
              </w:rPr>
              <w:t xml:space="preserve">etailed plans and engineering reports </w:t>
            </w:r>
            <w:r w:rsidR="000064F4">
              <w:rPr>
                <w:rFonts w:ascii="Arial Narrow" w:hAnsi="Arial Narrow"/>
              </w:rPr>
              <w:t>that consist the following</w:t>
            </w:r>
            <w:r w:rsidR="00F919BF">
              <w:rPr>
                <w:rFonts w:ascii="Arial Narrow" w:hAnsi="Arial Narrow"/>
              </w:rPr>
              <w:t>:</w:t>
            </w:r>
          </w:p>
          <w:p w:rsidR="00F919BF" w:rsidRDefault="00F919BF" w:rsidP="005222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 the criteria used for location of units. </w:t>
            </w:r>
          </w:p>
          <w:p w:rsidR="00F919BF" w:rsidRDefault="00F919BF" w:rsidP="005222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 engineering </w:t>
            </w:r>
            <w:r w:rsidR="000064F4">
              <w:rPr>
                <w:rFonts w:ascii="Arial Narrow" w:hAnsi="Arial Narrow"/>
              </w:rPr>
              <w:t xml:space="preserve">design or </w:t>
            </w:r>
            <w:r>
              <w:rPr>
                <w:rFonts w:ascii="Arial Narrow" w:hAnsi="Arial Narrow"/>
              </w:rPr>
              <w:t xml:space="preserve">drawings that are labeled, stamped and certified </w:t>
            </w:r>
            <w:r w:rsidR="000064F4" w:rsidRPr="000064F4">
              <w:rPr>
                <w:rFonts w:ascii="Arial Narrow" w:hAnsi="Arial Narrow"/>
              </w:rPr>
              <w:t>by an independent, qualified Professional Engineer registered in the Commonwealth of Kentucky.</w:t>
            </w:r>
          </w:p>
          <w:p w:rsidR="00F07CC7" w:rsidRPr="000064F4" w:rsidRDefault="000064F4" w:rsidP="005222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Describe the operating process and conditions (e.g. feed rates, hours of operation, etc.)</w:t>
            </w:r>
            <w:r w:rsidR="001A0E2A" w:rsidRPr="000064F4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20" w:type="dxa"/>
            <w:tcBorders>
              <w:bottom w:val="nil"/>
            </w:tcBorders>
          </w:tcPr>
          <w:p w:rsidR="00F07CC7" w:rsidRDefault="00F07CC7" w:rsidP="00980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270.23(a)(2)</w:t>
            </w:r>
          </w:p>
        </w:tc>
        <w:sdt>
          <w:sdtPr>
            <w:rPr>
              <w:rFonts w:ascii="Arial Narrow" w:hAnsi="Arial Narrow"/>
              <w:b/>
            </w:rPr>
            <w:id w:val="-1701777716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bottom w:val="nil"/>
                </w:tcBorders>
                <w:shd w:val="clear" w:color="auto" w:fill="auto"/>
              </w:tcPr>
              <w:p w:rsidR="00F07CC7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814913323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bottom w:val="nil"/>
                </w:tcBorders>
                <w:shd w:val="clear" w:color="auto" w:fill="auto"/>
              </w:tcPr>
              <w:p w:rsidR="00F07CC7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bottom w:val="nil"/>
            </w:tcBorders>
            <w:shd w:val="clear" w:color="auto" w:fill="auto"/>
          </w:tcPr>
          <w:p w:rsidR="00F07CC7" w:rsidRPr="00E865B8" w:rsidRDefault="00F07CC7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sdt>
            <w:sdtPr>
              <w:rPr>
                <w:rFonts w:ascii="Arial Narrow" w:hAnsi="Arial Narrow"/>
                <w:i/>
              </w:rPr>
              <w:id w:val="-137112837"/>
              <w:placeholder>
                <w:docPart w:val="DefaultPlaceholder_1081868574"/>
              </w:placeholder>
            </w:sdtPr>
            <w:sdtContent>
              <w:p w:rsidR="00F07CC7" w:rsidRPr="00DE539B" w:rsidRDefault="001A0E2A" w:rsidP="00181AB9">
                <w:pPr>
                  <w:rPr>
                    <w:rFonts w:ascii="Arial Narrow" w:hAnsi="Arial Narrow"/>
                    <w:i/>
                  </w:rPr>
                </w:pPr>
                <w:r>
                  <w:rPr>
                    <w:rFonts w:ascii="Arial Narrow" w:hAnsi="Arial Narrow"/>
                    <w:i/>
                  </w:rPr>
                  <w:t xml:space="preserve">The detailed plans and engineering reports must </w:t>
                </w:r>
                <w:r w:rsidR="00181AB9">
                  <w:rPr>
                    <w:rFonts w:ascii="Arial Narrow" w:hAnsi="Arial Narrow"/>
                    <w:i/>
                  </w:rPr>
                  <w:t>satisfy the requirements in</w:t>
                </w:r>
                <w:r>
                  <w:rPr>
                    <w:rFonts w:ascii="Arial Narrow" w:hAnsi="Arial Narrow"/>
                    <w:i/>
                  </w:rPr>
                  <w:t xml:space="preserve"> </w:t>
                </w:r>
                <w:r w:rsidRPr="001A0E2A">
                  <w:rPr>
                    <w:rFonts w:ascii="Arial Narrow" w:hAnsi="Arial Narrow"/>
                    <w:i/>
                  </w:rPr>
                  <w:t>40 CFR Part 264.601 and 264.602</w:t>
                </w:r>
                <w:r>
                  <w:rPr>
                    <w:rFonts w:ascii="Arial Narrow" w:hAnsi="Arial Narrow"/>
                    <w:i/>
                  </w:rPr>
                  <w:t>.</w:t>
                </w:r>
              </w:p>
            </w:sdtContent>
          </w:sdt>
        </w:tc>
      </w:tr>
      <w:tr w:rsidR="000064F4" w:rsidTr="00913B3A">
        <w:tc>
          <w:tcPr>
            <w:tcW w:w="540" w:type="dxa"/>
            <w:tcBorders>
              <w:top w:val="nil"/>
              <w:bottom w:val="nil"/>
            </w:tcBorders>
          </w:tcPr>
          <w:p w:rsidR="000064F4" w:rsidRDefault="000064F4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064F4" w:rsidRPr="000064F4" w:rsidRDefault="000064F4" w:rsidP="005222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0064F4">
              <w:rPr>
                <w:rFonts w:ascii="Arial Narrow" w:hAnsi="Arial Narrow"/>
              </w:rPr>
              <w:t>Maintenance, monitoring and inspection information - including detail</w:t>
            </w:r>
            <w:r>
              <w:rPr>
                <w:rFonts w:ascii="Arial Narrow" w:hAnsi="Arial Narrow"/>
              </w:rPr>
              <w:t>ed</w:t>
            </w:r>
            <w:r w:rsidRPr="000064F4">
              <w:rPr>
                <w:rFonts w:ascii="Arial Narrow" w:hAnsi="Arial Narrow"/>
              </w:rPr>
              <w:t xml:space="preserve"> schedules and procedures.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064F4" w:rsidRDefault="000064F4" w:rsidP="00980F1F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b/>
            </w:rPr>
            <w:id w:val="1349832785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0064F4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337358620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nil"/>
                  <w:bottom w:val="nil"/>
                </w:tcBorders>
                <w:shd w:val="clear" w:color="auto" w:fill="auto"/>
              </w:tcPr>
              <w:p w:rsidR="000064F4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0064F4" w:rsidRPr="00E865B8" w:rsidRDefault="000064F4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sdt>
            <w:sdtPr>
              <w:rPr>
                <w:rFonts w:ascii="Arial Narrow" w:hAnsi="Arial Narrow"/>
                <w:i/>
              </w:rPr>
              <w:id w:val="579180253"/>
              <w:placeholder>
                <w:docPart w:val="DefaultPlaceholder_1081868574"/>
              </w:placeholder>
            </w:sdtPr>
            <w:sdtContent>
              <w:p w:rsidR="000064F4" w:rsidRDefault="000064F4" w:rsidP="00F919BF">
                <w:pPr>
                  <w:rPr>
                    <w:rFonts w:ascii="Arial Narrow" w:hAnsi="Arial Narrow"/>
                    <w:i/>
                  </w:rPr>
                </w:pPr>
                <w:r>
                  <w:rPr>
                    <w:rFonts w:ascii="Arial Narrow" w:hAnsi="Arial Narrow"/>
                    <w:i/>
                  </w:rPr>
                  <w:t xml:space="preserve">This requirement may be addressed in </w:t>
                </w:r>
                <w:r w:rsidRPr="00913B3A">
                  <w:rPr>
                    <w:rFonts w:ascii="Arial Narrow" w:hAnsi="Arial Narrow"/>
                    <w:i/>
                  </w:rPr>
                  <w:t>Part F</w:t>
                </w:r>
                <w:r>
                  <w:rPr>
                    <w:rFonts w:ascii="Arial Narrow" w:hAnsi="Arial Narrow"/>
                    <w:i/>
                  </w:rPr>
                  <w:t xml:space="preserve"> – Procedures to Prevent Hazards checklist. </w:t>
                </w:r>
              </w:p>
            </w:sdtContent>
          </w:sdt>
        </w:tc>
      </w:tr>
      <w:tr w:rsidR="000064F4" w:rsidTr="00913B3A">
        <w:tc>
          <w:tcPr>
            <w:tcW w:w="540" w:type="dxa"/>
            <w:tcBorders>
              <w:top w:val="nil"/>
              <w:bottom w:val="nil"/>
            </w:tcBorders>
          </w:tcPr>
          <w:p w:rsidR="000064F4" w:rsidRDefault="000064F4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0064F4" w:rsidRPr="000064F4" w:rsidRDefault="000064F4" w:rsidP="00522271">
            <w:pPr>
              <w:pStyle w:val="ListParagraph"/>
              <w:numPr>
                <w:ilvl w:val="0"/>
                <w:numId w:val="3"/>
              </w:numPr>
              <w:ind w:left="342" w:hanging="342"/>
              <w:rPr>
                <w:rFonts w:ascii="Arial Narrow" w:hAnsi="Arial Narrow"/>
              </w:rPr>
            </w:pPr>
            <w:r w:rsidRPr="000064F4">
              <w:rPr>
                <w:rFonts w:ascii="Arial Narrow" w:hAnsi="Arial Narrow"/>
              </w:rPr>
              <w:t>Closure - Schedule and procedure proposed to close the units.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0064F4" w:rsidRDefault="000064F4" w:rsidP="00980F1F">
            <w:pPr>
              <w:jc w:val="center"/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  <w:b/>
            </w:rPr>
            <w:id w:val="232826783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0064F4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435675177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0064F4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064F4" w:rsidRPr="00E865B8" w:rsidRDefault="000064F4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 Narrow" w:hAnsi="Arial Narrow"/>
                <w:i/>
              </w:rPr>
              <w:id w:val="-816410357"/>
              <w:placeholder>
                <w:docPart w:val="DefaultPlaceholder_1081868574"/>
              </w:placeholder>
            </w:sdtPr>
            <w:sdtContent>
              <w:p w:rsidR="000064F4" w:rsidRDefault="000064F4" w:rsidP="000064F4">
                <w:pPr>
                  <w:rPr>
                    <w:rFonts w:ascii="Arial Narrow" w:hAnsi="Arial Narrow"/>
                    <w:i/>
                  </w:rPr>
                </w:pPr>
                <w:r w:rsidRPr="000064F4">
                  <w:rPr>
                    <w:rFonts w:ascii="Arial Narrow" w:hAnsi="Arial Narrow"/>
                    <w:i/>
                  </w:rPr>
                  <w:t xml:space="preserve">This requirement may be </w:t>
                </w:r>
                <w:r w:rsidRPr="00913B3A">
                  <w:rPr>
                    <w:rFonts w:ascii="Arial Narrow" w:hAnsi="Arial Narrow"/>
                    <w:i/>
                  </w:rPr>
                  <w:t>addressed in Part I – Closure Plans, Post Closure</w:t>
                </w:r>
                <w:r>
                  <w:rPr>
                    <w:rFonts w:ascii="Arial Narrow" w:hAnsi="Arial Narrow"/>
                    <w:i/>
                  </w:rPr>
                  <w:t xml:space="preserve"> Plans and Financial Requirements checklist. </w:t>
                </w:r>
              </w:p>
            </w:sdtContent>
          </w:sdt>
        </w:tc>
      </w:tr>
      <w:tr w:rsidR="00BB5A10" w:rsidTr="00010E81">
        <w:tc>
          <w:tcPr>
            <w:tcW w:w="540" w:type="dxa"/>
            <w:tcBorders>
              <w:top w:val="nil"/>
              <w:bottom w:val="nil"/>
            </w:tcBorders>
          </w:tcPr>
          <w:p w:rsidR="00BB5A10" w:rsidRDefault="00BB5A10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BB5A10" w:rsidRPr="00BB5A10" w:rsidRDefault="00A3053B" w:rsidP="00522271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 Narrow" w:hAnsi="Arial Narrow"/>
              </w:rPr>
            </w:pPr>
            <w:r w:rsidRPr="00A3053B">
              <w:rPr>
                <w:rFonts w:ascii="Arial Narrow" w:hAnsi="Arial Narrow"/>
              </w:rPr>
              <w:t> For any treatment unit, a report on a demonstration of the effectiveness of the treatment based on laboratory or field data.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BB5A10" w:rsidRDefault="00A3053B" w:rsidP="00980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270.23(d)</w:t>
            </w:r>
          </w:p>
        </w:tc>
        <w:sdt>
          <w:sdtPr>
            <w:rPr>
              <w:rFonts w:ascii="Arial Narrow" w:hAnsi="Arial Narrow"/>
              <w:b/>
            </w:rPr>
            <w:id w:val="-1008361102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BB5A10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272626385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:rsidR="00BB5A10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B5A10" w:rsidRPr="00E865B8" w:rsidRDefault="00BB5A10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239764519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nil"/>
                  <w:bottom w:val="single" w:sz="4" w:space="0" w:color="auto"/>
                </w:tcBorders>
              </w:tcPr>
              <w:p w:rsidR="00BB5A10" w:rsidRPr="000064F4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7A45" w:rsidTr="007205BD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77A45" w:rsidRDefault="00A77A45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7205BD" w:rsidRDefault="007205BD" w:rsidP="00522271">
            <w:pPr>
              <w:pStyle w:val="ListParagraph"/>
              <w:numPr>
                <w:ilvl w:val="0"/>
                <w:numId w:val="5"/>
              </w:numPr>
              <w:ind w:left="342" w:hanging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For disposal units only. Provide </w:t>
            </w:r>
            <w:r w:rsidRPr="007205BD">
              <w:rPr>
                <w:rFonts w:ascii="Arial Narrow" w:hAnsi="Arial Narrow"/>
              </w:rPr>
              <w:t xml:space="preserve">a detailed description of the plans to comply with the post-closure requirements of </w:t>
            </w:r>
            <w:r>
              <w:rPr>
                <w:rFonts w:ascii="Arial Narrow" w:hAnsi="Arial Narrow"/>
              </w:rPr>
              <w:t xml:space="preserve">40 CFR Part </w:t>
            </w:r>
            <w:r w:rsidRPr="007205BD">
              <w:rPr>
                <w:rFonts w:ascii="Arial Narrow" w:hAnsi="Arial Narrow"/>
              </w:rPr>
              <w:t>264.603</w:t>
            </w:r>
            <w:r>
              <w:rPr>
                <w:rFonts w:ascii="Arial Narrow" w:hAnsi="Arial Narrow"/>
              </w:rPr>
              <w:t xml:space="preserve">. </w:t>
            </w:r>
          </w:p>
          <w:p w:rsidR="00A77A45" w:rsidRPr="007205BD" w:rsidRDefault="00A77A45" w:rsidP="007205BD">
            <w:pPr>
              <w:ind w:left="342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77A45" w:rsidRDefault="007205BD" w:rsidP="00980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270.23(a)(3)</w:t>
            </w:r>
          </w:p>
        </w:tc>
        <w:sdt>
          <w:sdtPr>
            <w:rPr>
              <w:rFonts w:ascii="Arial Narrow" w:hAnsi="Arial Narrow"/>
              <w:b/>
            </w:rPr>
            <w:id w:val="413605057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77A45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938788786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A77A45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A45" w:rsidRPr="00E865B8" w:rsidRDefault="00A77A45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 Narrow" w:hAnsi="Arial Narrow"/>
                <w:i/>
              </w:rPr>
              <w:id w:val="-1257590450"/>
              <w:placeholder>
                <w:docPart w:val="DefaultPlaceholder_1081868574"/>
              </w:placeholder>
            </w:sdtPr>
            <w:sdtContent>
              <w:p w:rsidR="00A77A45" w:rsidRPr="000064F4" w:rsidRDefault="007205BD" w:rsidP="000064F4">
                <w:pPr>
                  <w:rPr>
                    <w:rFonts w:ascii="Arial Narrow" w:hAnsi="Arial Narrow"/>
                    <w:i/>
                  </w:rPr>
                </w:pPr>
                <w:r w:rsidRPr="007205BD">
                  <w:rPr>
                    <w:rFonts w:ascii="Arial Narrow" w:hAnsi="Arial Narrow"/>
                    <w:i/>
                  </w:rPr>
                  <w:t xml:space="preserve">This requirement may be </w:t>
                </w:r>
                <w:r w:rsidRPr="00913B3A">
                  <w:rPr>
                    <w:rFonts w:ascii="Arial Narrow" w:hAnsi="Arial Narrow"/>
                    <w:i/>
                  </w:rPr>
                  <w:t>addressed in Part I –</w:t>
                </w:r>
                <w:r w:rsidRPr="007205BD">
                  <w:rPr>
                    <w:rFonts w:ascii="Arial Narrow" w:hAnsi="Arial Narrow"/>
                    <w:i/>
                  </w:rPr>
                  <w:t xml:space="preserve"> Closure Plans, Post Closure Plans and Financial Requirements checklist.</w:t>
                </w:r>
              </w:p>
            </w:sdtContent>
          </w:sdt>
        </w:tc>
      </w:tr>
      <w:tr w:rsidR="007205BD" w:rsidTr="00522271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7205BD" w:rsidRDefault="007205BD" w:rsidP="00B74B5D">
            <w:pPr>
              <w:ind w:left="337" w:hanging="3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D.3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7205BD" w:rsidRDefault="007205BD" w:rsidP="007205BD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7205BD">
              <w:rPr>
                <w:rFonts w:ascii="Arial Narrow" w:hAnsi="Arial Narrow"/>
                <w:b/>
              </w:rPr>
              <w:t xml:space="preserve">Waste Characterization </w:t>
            </w:r>
          </w:p>
          <w:p w:rsidR="007205BD" w:rsidRDefault="007205BD" w:rsidP="007205BD">
            <w:pPr>
              <w:pStyle w:val="ListParagraph"/>
              <w:ind w:left="0"/>
              <w:rPr>
                <w:rFonts w:ascii="Arial Narrow" w:hAnsi="Arial Narrow"/>
              </w:rPr>
            </w:pPr>
          </w:p>
          <w:p w:rsidR="007205BD" w:rsidRDefault="00BB5A10" w:rsidP="007205BD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 </w:t>
            </w:r>
            <w:r w:rsidR="00F068DA">
              <w:rPr>
                <w:rFonts w:ascii="Arial Narrow" w:hAnsi="Arial Narrow"/>
              </w:rPr>
              <w:t>v</w:t>
            </w:r>
            <w:r w:rsidR="00F068DA" w:rsidRPr="00F068DA">
              <w:rPr>
                <w:rFonts w:ascii="Arial Narrow" w:hAnsi="Arial Narrow"/>
              </w:rPr>
              <w:t>olume</w:t>
            </w:r>
            <w:r w:rsidR="00181AB9">
              <w:rPr>
                <w:rFonts w:ascii="Arial Narrow" w:hAnsi="Arial Narrow"/>
              </w:rPr>
              <w:t>,</w:t>
            </w:r>
            <w:r w:rsidR="00F068DA" w:rsidRPr="00F068DA">
              <w:rPr>
                <w:rFonts w:ascii="Arial Narrow" w:hAnsi="Arial Narrow"/>
              </w:rPr>
              <w:t xml:space="preserve"> physical </w:t>
            </w:r>
            <w:r w:rsidR="00181AB9">
              <w:rPr>
                <w:rFonts w:ascii="Arial Narrow" w:hAnsi="Arial Narrow"/>
              </w:rPr>
              <w:t>and</w:t>
            </w:r>
            <w:r w:rsidR="00F068DA" w:rsidRPr="00F068DA">
              <w:rPr>
                <w:rFonts w:ascii="Arial Narrow" w:hAnsi="Arial Narrow"/>
              </w:rPr>
              <w:t xml:space="preserve"> chemical characteristics of the waste in the unit.</w:t>
            </w:r>
          </w:p>
          <w:p w:rsidR="00BB5A10" w:rsidRPr="007205BD" w:rsidRDefault="00BB5A10" w:rsidP="007205BD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05BD" w:rsidRDefault="007205BD" w:rsidP="00980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270.23; 264.601(a)(1), (b)(1), (c)(1)</w:t>
            </w:r>
          </w:p>
        </w:tc>
        <w:sdt>
          <w:sdtPr>
            <w:rPr>
              <w:rFonts w:ascii="Arial Narrow" w:hAnsi="Arial Narrow"/>
              <w:b/>
            </w:rPr>
            <w:id w:val="1920512360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205BD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439718321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7205BD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5BD" w:rsidRPr="00E865B8" w:rsidRDefault="007205BD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544755145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7205BD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5A10" w:rsidTr="00F068DA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:rsidR="00BB5A10" w:rsidRDefault="00BB5A10" w:rsidP="00B74B5D">
            <w:pPr>
              <w:ind w:left="337" w:hanging="3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BB5A10" w:rsidRDefault="00A3053B" w:rsidP="00BB5A1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Environmental Performance Standards</w:t>
            </w:r>
          </w:p>
          <w:p w:rsidR="00A3053B" w:rsidRDefault="00A3053B" w:rsidP="00A3053B">
            <w:pPr>
              <w:rPr>
                <w:rFonts w:ascii="Arial Narrow" w:hAnsi="Arial Narrow"/>
                <w:b/>
              </w:rPr>
            </w:pPr>
          </w:p>
          <w:p w:rsidR="00390853" w:rsidRDefault="00390853" w:rsidP="00A3053B">
            <w:pPr>
              <w:rPr>
                <w:rFonts w:ascii="Arial Narrow" w:hAnsi="Arial Narrow"/>
              </w:rPr>
            </w:pPr>
            <w:r w:rsidRPr="00390853">
              <w:rPr>
                <w:rFonts w:ascii="Arial Narrow" w:hAnsi="Arial Narrow"/>
              </w:rPr>
              <w:t>Environmental performance standards must be established and maintained to protect human health and environment.</w:t>
            </w:r>
          </w:p>
          <w:p w:rsidR="00390853" w:rsidRPr="00390853" w:rsidRDefault="00390853" w:rsidP="00A3053B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B5A10" w:rsidRDefault="008C41DB" w:rsidP="00980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270.23(b); 264.601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B5A10" w:rsidRPr="00E865B8" w:rsidRDefault="00BB5A10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B5A10" w:rsidRPr="00E865B8" w:rsidRDefault="00BB5A10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B5A10" w:rsidRPr="00E865B8" w:rsidRDefault="00BB5A10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BB5A10" w:rsidRPr="007205BD" w:rsidRDefault="00390853" w:rsidP="00390853">
            <w:pPr>
              <w:rPr>
                <w:rFonts w:ascii="Arial Narrow" w:hAnsi="Arial Narrow"/>
                <w:i/>
              </w:rPr>
            </w:pPr>
            <w:r w:rsidRPr="00390853">
              <w:rPr>
                <w:rFonts w:ascii="Arial Narrow" w:hAnsi="Arial Narrow"/>
                <w:i/>
              </w:rPr>
              <w:t>If the applicant can demonstrate that he</w:t>
            </w:r>
            <w:r>
              <w:rPr>
                <w:rFonts w:ascii="Arial Narrow" w:hAnsi="Arial Narrow"/>
                <w:i/>
              </w:rPr>
              <w:t>/she</w:t>
            </w:r>
            <w:r w:rsidRPr="00390853">
              <w:rPr>
                <w:rFonts w:ascii="Arial Narrow" w:hAnsi="Arial Narrow"/>
                <w:i/>
              </w:rPr>
              <w:t xml:space="preserve"> does not violate the environmental performance standards of </w:t>
            </w:r>
            <w:r>
              <w:rPr>
                <w:rFonts w:ascii="Arial Narrow" w:hAnsi="Arial Narrow"/>
                <w:i/>
              </w:rPr>
              <w:t xml:space="preserve">40 CFR Part </w:t>
            </w:r>
            <w:r w:rsidRPr="00390853">
              <w:rPr>
                <w:rFonts w:ascii="Arial Narrow" w:hAnsi="Arial Narrow"/>
                <w:i/>
              </w:rPr>
              <w:t xml:space="preserve">264.601 and the </w:t>
            </w:r>
            <w:r>
              <w:rPr>
                <w:rFonts w:ascii="Arial Narrow" w:hAnsi="Arial Narrow"/>
                <w:i/>
              </w:rPr>
              <w:t>Division</w:t>
            </w:r>
            <w:r w:rsidRPr="00390853">
              <w:rPr>
                <w:rFonts w:ascii="Arial Narrow" w:hAnsi="Arial Narrow"/>
                <w:i/>
              </w:rPr>
              <w:t xml:space="preserve"> agrees with such demonstration, preliminary hydrologic, geologic, and meteorological assessments will suffice</w:t>
            </w:r>
          </w:p>
        </w:tc>
      </w:tr>
      <w:tr w:rsidR="00A3053B" w:rsidTr="00F068DA">
        <w:tc>
          <w:tcPr>
            <w:tcW w:w="540" w:type="dxa"/>
            <w:tcBorders>
              <w:top w:val="nil"/>
              <w:bottom w:val="nil"/>
            </w:tcBorders>
          </w:tcPr>
          <w:p w:rsidR="00A3053B" w:rsidRDefault="00A3053B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A3053B" w:rsidRPr="00A3053B" w:rsidRDefault="00A3053B" w:rsidP="00A3053B">
            <w:pPr>
              <w:rPr>
                <w:rFonts w:ascii="Arial Narrow" w:hAnsi="Arial Narrow"/>
                <w:b/>
              </w:rPr>
            </w:pPr>
            <w:r w:rsidRPr="00A3053B">
              <w:rPr>
                <w:rFonts w:ascii="Arial Narrow" w:hAnsi="Arial Narrow"/>
                <w:b/>
              </w:rPr>
              <w:t>D.4.1   Protection of Groundwater and Subsurface Environment</w:t>
            </w:r>
          </w:p>
          <w:p w:rsidR="00A3053B" w:rsidRDefault="00A3053B" w:rsidP="00BB5A10">
            <w:pPr>
              <w:rPr>
                <w:rFonts w:ascii="Arial Narrow" w:hAnsi="Arial Narrow"/>
              </w:rPr>
            </w:pPr>
          </w:p>
          <w:p w:rsidR="00522271" w:rsidRDefault="00F068DA" w:rsidP="00BB5A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Applicant shall conduct an assessment on </w:t>
            </w:r>
            <w:r w:rsidRPr="00F068DA">
              <w:rPr>
                <w:rFonts w:ascii="Arial Narrow" w:hAnsi="Arial Narrow"/>
              </w:rPr>
              <w:t>adverse effects on human health or the environment due to migration of waste constituents in the ground water or subsurface environment</w:t>
            </w:r>
            <w:r>
              <w:rPr>
                <w:rFonts w:ascii="Arial Narrow" w:hAnsi="Arial Narrow"/>
              </w:rPr>
              <w:t xml:space="preserve">, and, at the minimum, shall include the following </w:t>
            </w:r>
            <w:r w:rsidR="00522271">
              <w:rPr>
                <w:rFonts w:ascii="Arial Narrow" w:hAnsi="Arial Narrow"/>
              </w:rPr>
              <w:t>information:</w:t>
            </w:r>
          </w:p>
          <w:p w:rsidR="00A3053B" w:rsidRPr="00A3053B" w:rsidRDefault="00A3053B" w:rsidP="00BB5A1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3053B" w:rsidRDefault="00A3053B" w:rsidP="00980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270.23(b),(c); 264.601(a)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053B" w:rsidRPr="00E865B8" w:rsidRDefault="00A3053B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053B" w:rsidRPr="00E865B8" w:rsidRDefault="00A3053B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053B" w:rsidRPr="00E865B8" w:rsidRDefault="00A3053B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A3053B" w:rsidRPr="007205BD" w:rsidRDefault="001B28A0" w:rsidP="000064F4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Both saturated and unsaturated zones must be considered in evaluating potential for subsurface migration. </w:t>
            </w:r>
          </w:p>
        </w:tc>
      </w:tr>
      <w:tr w:rsidR="00522271" w:rsidTr="00F068DA">
        <w:tc>
          <w:tcPr>
            <w:tcW w:w="540" w:type="dxa"/>
            <w:tcBorders>
              <w:top w:val="nil"/>
              <w:bottom w:val="nil"/>
            </w:tcBorders>
          </w:tcPr>
          <w:p w:rsidR="00522271" w:rsidRDefault="00522271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522271" w:rsidRPr="00522271" w:rsidRDefault="00522271" w:rsidP="0052227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522271">
              <w:rPr>
                <w:rFonts w:ascii="Arial Narrow" w:hAnsi="Arial Narrow"/>
              </w:rPr>
              <w:t>otential for</w:t>
            </w:r>
            <w:r>
              <w:rPr>
                <w:rFonts w:ascii="Arial Narrow" w:hAnsi="Arial Narrow"/>
              </w:rPr>
              <w:t xml:space="preserve"> </w:t>
            </w:r>
            <w:r w:rsidR="00F068DA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 xml:space="preserve">waste to </w:t>
            </w:r>
            <w:r w:rsidRPr="00522271">
              <w:rPr>
                <w:rFonts w:ascii="Arial Narrow" w:hAnsi="Arial Narrow"/>
              </w:rPr>
              <w:t>migrat</w:t>
            </w:r>
            <w:r>
              <w:rPr>
                <w:rFonts w:ascii="Arial Narrow" w:hAnsi="Arial Narrow"/>
              </w:rPr>
              <w:t>e</w:t>
            </w:r>
            <w:r w:rsidRPr="00522271">
              <w:rPr>
                <w:rFonts w:ascii="Arial Narrow" w:hAnsi="Arial Narrow"/>
              </w:rPr>
              <w:t xml:space="preserve"> through soil, liners, or other containing structures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22271" w:rsidRDefault="00F068DA" w:rsidP="00980F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264.601(a)(1)</w:t>
            </w:r>
          </w:p>
        </w:tc>
        <w:sdt>
          <w:sdtPr>
            <w:rPr>
              <w:rFonts w:ascii="Arial Narrow" w:hAnsi="Arial Narrow"/>
              <w:b/>
            </w:rPr>
            <w:id w:val="1216002496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2227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546103869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52227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271" w:rsidRPr="00E865B8" w:rsidRDefault="0052227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172885016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22271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8DA" w:rsidTr="00F068DA">
        <w:tc>
          <w:tcPr>
            <w:tcW w:w="540" w:type="dxa"/>
            <w:tcBorders>
              <w:top w:val="nil"/>
              <w:bottom w:val="nil"/>
            </w:tcBorders>
          </w:tcPr>
          <w:p w:rsidR="00F068DA" w:rsidRDefault="00F068DA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068DA" w:rsidRDefault="00F068DA" w:rsidP="0052227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 Narrow" w:hAnsi="Arial Narrow"/>
              </w:rPr>
            </w:pPr>
            <w:r w:rsidRPr="00F068DA">
              <w:rPr>
                <w:rFonts w:ascii="Arial Narrow" w:hAnsi="Arial Narrow"/>
              </w:rPr>
              <w:t>The hydrologic and geologic characteristics of the unit and the surrounding area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68DA" w:rsidRDefault="00F068DA" w:rsidP="00F068DA">
            <w:pPr>
              <w:jc w:val="center"/>
              <w:rPr>
                <w:rFonts w:ascii="Arial Narrow" w:hAnsi="Arial Narrow"/>
              </w:rPr>
            </w:pPr>
            <w:r w:rsidRPr="00F068DA">
              <w:rPr>
                <w:rFonts w:ascii="Arial Narrow" w:hAnsi="Arial Narrow"/>
              </w:rPr>
              <w:t>264.601(a)(</w:t>
            </w:r>
            <w:r>
              <w:rPr>
                <w:rFonts w:ascii="Arial Narrow" w:hAnsi="Arial Narrow"/>
              </w:rPr>
              <w:t>2</w:t>
            </w:r>
            <w:r w:rsidRPr="00F068DA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1373421967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F068DA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56671079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F068DA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DA" w:rsidRPr="00E865B8" w:rsidRDefault="00F068DA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974907631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068DA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8DA" w:rsidTr="00181AB9">
        <w:tc>
          <w:tcPr>
            <w:tcW w:w="540" w:type="dxa"/>
            <w:tcBorders>
              <w:top w:val="nil"/>
              <w:bottom w:val="nil"/>
            </w:tcBorders>
          </w:tcPr>
          <w:p w:rsidR="00F068DA" w:rsidRDefault="00F068DA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068DA" w:rsidRPr="00F068DA" w:rsidRDefault="00F068DA" w:rsidP="0052227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 Narrow" w:hAnsi="Arial Narrow"/>
              </w:rPr>
            </w:pPr>
            <w:r w:rsidRPr="00F068DA">
              <w:rPr>
                <w:rFonts w:ascii="Arial Narrow" w:hAnsi="Arial Narrow"/>
              </w:rPr>
              <w:t>The existing quality of ground water, including other sources of contamination and their cumulative impact on the ground wate</w:t>
            </w:r>
            <w:r>
              <w:rPr>
                <w:rFonts w:ascii="Arial Narrow" w:hAnsi="Arial Narrow"/>
              </w:rPr>
              <w:t>r</w:t>
            </w:r>
            <w:r w:rsidR="00181AB9"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068DA" w:rsidRDefault="00F068DA" w:rsidP="00F068DA">
            <w:pPr>
              <w:jc w:val="center"/>
              <w:rPr>
                <w:rFonts w:ascii="Arial Narrow" w:hAnsi="Arial Narrow"/>
              </w:rPr>
            </w:pPr>
            <w:r w:rsidRPr="00F068DA">
              <w:rPr>
                <w:rFonts w:ascii="Arial Narrow" w:hAnsi="Arial Narrow"/>
              </w:rPr>
              <w:t>264.601(a)(</w:t>
            </w:r>
            <w:r>
              <w:rPr>
                <w:rFonts w:ascii="Arial Narrow" w:hAnsi="Arial Narrow"/>
              </w:rPr>
              <w:t>3</w:t>
            </w:r>
            <w:r w:rsidRPr="00F068DA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896552259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F068DA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503386445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F068DA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68DA" w:rsidRPr="00E865B8" w:rsidRDefault="00F068DA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2070335921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068DA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1AB9" w:rsidTr="00181AB9">
        <w:tc>
          <w:tcPr>
            <w:tcW w:w="540" w:type="dxa"/>
            <w:tcBorders>
              <w:top w:val="nil"/>
              <w:bottom w:val="nil"/>
            </w:tcBorders>
          </w:tcPr>
          <w:p w:rsidR="00181AB9" w:rsidRDefault="00181AB9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81AB9" w:rsidRPr="00F068DA" w:rsidRDefault="00181AB9" w:rsidP="0052227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 Narrow" w:hAnsi="Arial Narrow"/>
              </w:rPr>
            </w:pPr>
            <w:r w:rsidRPr="00181AB9">
              <w:rPr>
                <w:rFonts w:ascii="Arial Narrow" w:hAnsi="Arial Narrow"/>
              </w:rPr>
              <w:t>The quantity and direction of ground-water flow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1AB9" w:rsidRPr="00F068DA" w:rsidRDefault="00181AB9" w:rsidP="00181AB9">
            <w:pPr>
              <w:jc w:val="center"/>
              <w:rPr>
                <w:rFonts w:ascii="Arial Narrow" w:hAnsi="Arial Narrow"/>
              </w:rPr>
            </w:pPr>
            <w:r w:rsidRPr="00181AB9">
              <w:rPr>
                <w:rFonts w:ascii="Arial Narrow" w:hAnsi="Arial Narrow"/>
              </w:rPr>
              <w:t>264.601(a)(</w:t>
            </w:r>
            <w:r>
              <w:rPr>
                <w:rFonts w:ascii="Arial Narrow" w:hAnsi="Arial Narrow"/>
              </w:rPr>
              <w:t>4</w:t>
            </w:r>
            <w:r w:rsidRPr="00181AB9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305698948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81AB9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179934620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81AB9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AB9" w:rsidRPr="00E865B8" w:rsidRDefault="00181AB9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747001930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81AB9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1AB9" w:rsidTr="00181AB9">
        <w:tc>
          <w:tcPr>
            <w:tcW w:w="540" w:type="dxa"/>
            <w:tcBorders>
              <w:top w:val="nil"/>
              <w:bottom w:val="nil"/>
            </w:tcBorders>
          </w:tcPr>
          <w:p w:rsidR="00181AB9" w:rsidRDefault="00181AB9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81AB9" w:rsidRPr="00181AB9" w:rsidRDefault="00181AB9" w:rsidP="0052227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 Narrow" w:hAnsi="Arial Narrow"/>
              </w:rPr>
            </w:pPr>
            <w:r w:rsidRPr="00181AB9">
              <w:rPr>
                <w:rFonts w:ascii="Arial Narrow" w:hAnsi="Arial Narrow"/>
              </w:rPr>
              <w:t>The proximity to and withdrawal rates of current and potential ground-water users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1AB9" w:rsidRPr="00181AB9" w:rsidRDefault="00181AB9" w:rsidP="00181AB9">
            <w:pPr>
              <w:jc w:val="center"/>
              <w:rPr>
                <w:rFonts w:ascii="Arial Narrow" w:hAnsi="Arial Narrow"/>
              </w:rPr>
            </w:pPr>
            <w:r w:rsidRPr="00181AB9">
              <w:rPr>
                <w:rFonts w:ascii="Arial Narrow" w:hAnsi="Arial Narrow"/>
              </w:rPr>
              <w:t>264.601(a)(</w:t>
            </w:r>
            <w:r>
              <w:rPr>
                <w:rFonts w:ascii="Arial Narrow" w:hAnsi="Arial Narrow"/>
              </w:rPr>
              <w:t>5</w:t>
            </w:r>
            <w:r w:rsidRPr="00181AB9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1904178170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81AB9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914926673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81AB9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AB9" w:rsidRPr="00E865B8" w:rsidRDefault="00181AB9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1242456427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81AB9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1AB9" w:rsidTr="00181AB9">
        <w:tc>
          <w:tcPr>
            <w:tcW w:w="540" w:type="dxa"/>
            <w:tcBorders>
              <w:top w:val="nil"/>
              <w:bottom w:val="nil"/>
            </w:tcBorders>
          </w:tcPr>
          <w:p w:rsidR="00181AB9" w:rsidRDefault="00181AB9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81AB9" w:rsidRPr="00181AB9" w:rsidRDefault="00181AB9" w:rsidP="0052227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 Narrow" w:hAnsi="Arial Narrow"/>
              </w:rPr>
            </w:pPr>
            <w:r w:rsidRPr="00181AB9">
              <w:rPr>
                <w:rFonts w:ascii="Arial Narrow" w:hAnsi="Arial Narrow"/>
              </w:rPr>
              <w:t>The patterns of land use in the region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1AB9" w:rsidRPr="00181AB9" w:rsidRDefault="00181AB9" w:rsidP="00181AB9">
            <w:pPr>
              <w:jc w:val="center"/>
              <w:rPr>
                <w:rFonts w:ascii="Arial Narrow" w:hAnsi="Arial Narrow"/>
              </w:rPr>
            </w:pPr>
            <w:r w:rsidRPr="00181AB9">
              <w:rPr>
                <w:rFonts w:ascii="Arial Narrow" w:hAnsi="Arial Narrow"/>
              </w:rPr>
              <w:t>264.601(a)(</w:t>
            </w:r>
            <w:r>
              <w:rPr>
                <w:rFonts w:ascii="Arial Narrow" w:hAnsi="Arial Narrow"/>
              </w:rPr>
              <w:t>6</w:t>
            </w:r>
            <w:r w:rsidRPr="00181AB9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1775241700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81AB9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206381553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81AB9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AB9" w:rsidRPr="00E865B8" w:rsidRDefault="00181AB9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2025132901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81AB9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1AB9" w:rsidTr="00181AB9">
        <w:tc>
          <w:tcPr>
            <w:tcW w:w="540" w:type="dxa"/>
            <w:tcBorders>
              <w:top w:val="nil"/>
              <w:bottom w:val="nil"/>
            </w:tcBorders>
          </w:tcPr>
          <w:p w:rsidR="00181AB9" w:rsidRDefault="00181AB9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81AB9" w:rsidRPr="00181AB9" w:rsidRDefault="00181AB9" w:rsidP="0052227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 Narrow" w:hAnsi="Arial Narrow"/>
              </w:rPr>
            </w:pPr>
            <w:r w:rsidRPr="00181AB9">
              <w:rPr>
                <w:rFonts w:ascii="Arial Narrow" w:hAnsi="Arial Narrow"/>
              </w:rPr>
              <w:t xml:space="preserve">The potential for deposition or migration of waste constituents into subsurface physical structures, </w:t>
            </w:r>
            <w:r w:rsidRPr="00181AB9">
              <w:rPr>
                <w:rFonts w:ascii="Arial Narrow" w:hAnsi="Arial Narrow"/>
              </w:rPr>
              <w:lastRenderedPageBreak/>
              <w:t>and into the root zone of food-chain crops and other vegetation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1AB9" w:rsidRPr="00181AB9" w:rsidRDefault="00181AB9" w:rsidP="00181AB9">
            <w:pPr>
              <w:jc w:val="center"/>
              <w:rPr>
                <w:rFonts w:ascii="Arial Narrow" w:hAnsi="Arial Narrow"/>
              </w:rPr>
            </w:pPr>
            <w:r w:rsidRPr="00181AB9">
              <w:rPr>
                <w:rFonts w:ascii="Arial Narrow" w:hAnsi="Arial Narrow"/>
              </w:rPr>
              <w:lastRenderedPageBreak/>
              <w:t>264.601(a)(</w:t>
            </w:r>
            <w:r>
              <w:rPr>
                <w:rFonts w:ascii="Arial Narrow" w:hAnsi="Arial Narrow"/>
              </w:rPr>
              <w:t>7</w:t>
            </w:r>
            <w:r w:rsidRPr="00181AB9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1347524173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81AB9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685706695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81AB9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AB9" w:rsidRPr="00E865B8" w:rsidRDefault="00181AB9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1221171230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81AB9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1AB9" w:rsidTr="006D019C">
        <w:tc>
          <w:tcPr>
            <w:tcW w:w="540" w:type="dxa"/>
            <w:tcBorders>
              <w:top w:val="nil"/>
              <w:bottom w:val="nil"/>
            </w:tcBorders>
          </w:tcPr>
          <w:p w:rsidR="00181AB9" w:rsidRDefault="00181AB9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181AB9" w:rsidRPr="00181AB9" w:rsidRDefault="00181AB9" w:rsidP="0052227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 Narrow" w:hAnsi="Arial Narrow"/>
              </w:rPr>
            </w:pPr>
            <w:r w:rsidRPr="00181AB9">
              <w:rPr>
                <w:rFonts w:ascii="Arial Narrow" w:hAnsi="Arial Narrow"/>
              </w:rPr>
              <w:t>The potential for health risks caused by human exposure to waste constituents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81AB9" w:rsidRPr="00181AB9" w:rsidRDefault="00181AB9" w:rsidP="00181AB9">
            <w:pPr>
              <w:jc w:val="center"/>
              <w:rPr>
                <w:rFonts w:ascii="Arial Narrow" w:hAnsi="Arial Narrow"/>
              </w:rPr>
            </w:pPr>
            <w:r w:rsidRPr="00181AB9">
              <w:rPr>
                <w:rFonts w:ascii="Arial Narrow" w:hAnsi="Arial Narrow"/>
              </w:rPr>
              <w:t>264.601(a)(</w:t>
            </w:r>
            <w:r>
              <w:rPr>
                <w:rFonts w:ascii="Arial Narrow" w:hAnsi="Arial Narrow"/>
              </w:rPr>
              <w:t>8</w:t>
            </w:r>
            <w:r w:rsidRPr="00181AB9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668443092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81AB9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365671897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181AB9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1AB9" w:rsidRPr="00E865B8" w:rsidRDefault="00181AB9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1400817810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181AB9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D019C" w:rsidTr="00390853">
        <w:tc>
          <w:tcPr>
            <w:tcW w:w="540" w:type="dxa"/>
            <w:tcBorders>
              <w:top w:val="nil"/>
              <w:bottom w:val="nil"/>
            </w:tcBorders>
          </w:tcPr>
          <w:p w:rsidR="006D019C" w:rsidRDefault="006D019C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6D019C" w:rsidRDefault="006D019C" w:rsidP="00522271">
            <w:pPr>
              <w:pStyle w:val="ListParagraph"/>
              <w:numPr>
                <w:ilvl w:val="0"/>
                <w:numId w:val="6"/>
              </w:numPr>
              <w:ind w:left="342" w:hanging="342"/>
              <w:rPr>
                <w:rFonts w:ascii="Arial Narrow" w:hAnsi="Arial Narrow"/>
              </w:rPr>
            </w:pPr>
            <w:r w:rsidRPr="006D019C">
              <w:rPr>
                <w:rFonts w:ascii="Arial Narrow" w:hAnsi="Arial Narrow"/>
              </w:rPr>
              <w:t>The potential for damage to domestic animals, wildlife, crops, vegetation, and physical structures caused by exposure to waste constituents</w:t>
            </w:r>
            <w:r>
              <w:rPr>
                <w:rFonts w:ascii="Arial Narrow" w:hAnsi="Arial Narrow"/>
              </w:rPr>
              <w:t>.</w:t>
            </w:r>
          </w:p>
          <w:p w:rsidR="001B28A0" w:rsidRPr="00181AB9" w:rsidRDefault="001B28A0" w:rsidP="001B28A0">
            <w:pPr>
              <w:pStyle w:val="ListParagraph"/>
              <w:ind w:left="342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D019C" w:rsidRPr="00181AB9" w:rsidRDefault="006D019C" w:rsidP="006D019C">
            <w:pPr>
              <w:jc w:val="center"/>
              <w:rPr>
                <w:rFonts w:ascii="Arial Narrow" w:hAnsi="Arial Narrow"/>
              </w:rPr>
            </w:pPr>
            <w:r w:rsidRPr="006D019C">
              <w:rPr>
                <w:rFonts w:ascii="Arial Narrow" w:hAnsi="Arial Narrow"/>
              </w:rPr>
              <w:t>264.601(a)(</w:t>
            </w:r>
            <w:r>
              <w:rPr>
                <w:rFonts w:ascii="Arial Narrow" w:hAnsi="Arial Narrow"/>
              </w:rPr>
              <w:t>9</w:t>
            </w:r>
            <w:r w:rsidRPr="006D019C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689066342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D019C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479834001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6D019C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19C" w:rsidRPr="00E865B8" w:rsidRDefault="006D019C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1632626371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D019C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853" w:rsidTr="00297521">
        <w:tc>
          <w:tcPr>
            <w:tcW w:w="540" w:type="dxa"/>
            <w:tcBorders>
              <w:top w:val="nil"/>
              <w:bottom w:val="nil"/>
            </w:tcBorders>
          </w:tcPr>
          <w:p w:rsidR="00390853" w:rsidRDefault="00390853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390853" w:rsidRDefault="00390853" w:rsidP="00390853">
            <w:pPr>
              <w:ind w:left="612" w:hanging="612"/>
              <w:rPr>
                <w:rFonts w:ascii="Arial Narrow" w:hAnsi="Arial Narrow"/>
              </w:rPr>
            </w:pPr>
            <w:r w:rsidRPr="00390853">
              <w:rPr>
                <w:rFonts w:ascii="Arial Narrow" w:hAnsi="Arial Narrow"/>
                <w:b/>
              </w:rPr>
              <w:t>D.4.2   Protection of Surface Wa</w:t>
            </w:r>
            <w:r w:rsidR="00DC50A5">
              <w:rPr>
                <w:rFonts w:ascii="Arial Narrow" w:hAnsi="Arial Narrow"/>
                <w:b/>
              </w:rPr>
              <w:t>ter</w:t>
            </w:r>
            <w:r w:rsidRPr="00390853">
              <w:rPr>
                <w:rFonts w:ascii="Arial Narrow" w:hAnsi="Arial Narrow"/>
                <w:b/>
              </w:rPr>
              <w:t>, Wetlands, and Soil Surfaces</w:t>
            </w:r>
          </w:p>
          <w:p w:rsidR="00390853" w:rsidRDefault="00390853" w:rsidP="00390853">
            <w:pPr>
              <w:ind w:left="612" w:hanging="612"/>
              <w:rPr>
                <w:rFonts w:ascii="Arial Narrow" w:hAnsi="Arial Narrow"/>
              </w:rPr>
            </w:pPr>
          </w:p>
          <w:p w:rsidR="008C41DB" w:rsidRPr="008C41DB" w:rsidRDefault="008C41DB" w:rsidP="008C41DB">
            <w:pPr>
              <w:rPr>
                <w:rFonts w:ascii="Arial Narrow" w:hAnsi="Arial Narrow"/>
              </w:rPr>
            </w:pPr>
            <w:r w:rsidRPr="008C41DB">
              <w:rPr>
                <w:rFonts w:ascii="Arial Narrow" w:hAnsi="Arial Narrow"/>
              </w:rPr>
              <w:t xml:space="preserve">Applicant shall conduct an assessment on adverse effects on human health or the environment due to migration of waste constituents </w:t>
            </w:r>
            <w:r w:rsidR="00DC50A5">
              <w:rPr>
                <w:rFonts w:ascii="Arial Narrow" w:hAnsi="Arial Narrow"/>
              </w:rPr>
              <w:t>in surface water, wetlands or soil surfaces</w:t>
            </w:r>
            <w:r w:rsidRPr="008C41DB">
              <w:rPr>
                <w:rFonts w:ascii="Arial Narrow" w:hAnsi="Arial Narrow"/>
              </w:rPr>
              <w:t>, and, at the minimum, shall include the following information:</w:t>
            </w:r>
          </w:p>
          <w:p w:rsidR="008C41DB" w:rsidRPr="00390853" w:rsidRDefault="008C41DB" w:rsidP="008C41DB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90853" w:rsidRPr="006D019C" w:rsidRDefault="00297521" w:rsidP="00297521">
            <w:pPr>
              <w:jc w:val="center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270.23(b),(c); 264.601(</w:t>
            </w:r>
            <w:r>
              <w:rPr>
                <w:rFonts w:ascii="Arial Narrow" w:hAnsi="Arial Narrow"/>
              </w:rPr>
              <w:t>b</w:t>
            </w:r>
            <w:r w:rsidRPr="00297521">
              <w:rPr>
                <w:rFonts w:ascii="Arial Narrow" w:hAnsi="Arial Narrow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90853" w:rsidRPr="00E865B8" w:rsidRDefault="00390853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90853" w:rsidRPr="00E865B8" w:rsidRDefault="00390853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390853" w:rsidRPr="00E865B8" w:rsidRDefault="00390853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390853" w:rsidRPr="007205BD" w:rsidRDefault="00390853" w:rsidP="000064F4">
            <w:pPr>
              <w:rPr>
                <w:rFonts w:ascii="Arial Narrow" w:hAnsi="Arial Narrow"/>
                <w:i/>
              </w:rPr>
            </w:pPr>
          </w:p>
        </w:tc>
      </w:tr>
      <w:tr w:rsidR="00297521" w:rsidTr="00DC50A5">
        <w:tc>
          <w:tcPr>
            <w:tcW w:w="540" w:type="dxa"/>
            <w:tcBorders>
              <w:top w:val="nil"/>
              <w:bottom w:val="nil"/>
            </w:tcBorders>
          </w:tcPr>
          <w:p w:rsidR="00297521" w:rsidRDefault="00297521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pStyle w:val="ListParagraph"/>
              <w:numPr>
                <w:ilvl w:val="0"/>
                <w:numId w:val="7"/>
              </w:numPr>
              <w:ind w:left="342" w:hanging="360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The effectiveness and reliability of containing, confining, and collecting systems and structures in preventing migration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6D019C" w:rsidRDefault="00297521" w:rsidP="00297521">
            <w:pPr>
              <w:jc w:val="center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264.601(</w:t>
            </w:r>
            <w:r>
              <w:rPr>
                <w:rFonts w:ascii="Arial Narrow" w:hAnsi="Arial Narrow"/>
              </w:rPr>
              <w:t>b</w:t>
            </w:r>
            <w:r w:rsidRPr="00297521">
              <w:rPr>
                <w:rFonts w:ascii="Arial Narrow" w:hAnsi="Arial Narrow"/>
              </w:rPr>
              <w:t>)(</w:t>
            </w:r>
            <w:r>
              <w:rPr>
                <w:rFonts w:ascii="Arial Narrow" w:hAnsi="Arial Narrow"/>
              </w:rPr>
              <w:t>2</w:t>
            </w:r>
            <w:r w:rsidRPr="00297521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2030834457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366609813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7521" w:rsidRPr="00E865B8" w:rsidRDefault="0029752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1741939042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7521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7521" w:rsidTr="00DC50A5">
        <w:tc>
          <w:tcPr>
            <w:tcW w:w="540" w:type="dxa"/>
            <w:tcBorders>
              <w:top w:val="nil"/>
              <w:bottom w:val="nil"/>
            </w:tcBorders>
          </w:tcPr>
          <w:p w:rsidR="00297521" w:rsidRDefault="00297521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pStyle w:val="ListParagraph"/>
              <w:numPr>
                <w:ilvl w:val="0"/>
                <w:numId w:val="7"/>
              </w:numPr>
              <w:ind w:left="342" w:hanging="360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The hydrologic characteristics of the unit and the surrounding area, including the topography of the land around the unit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jc w:val="center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264.601(b)(</w:t>
            </w:r>
            <w:r>
              <w:rPr>
                <w:rFonts w:ascii="Arial Narrow" w:hAnsi="Arial Narrow"/>
              </w:rPr>
              <w:t>3</w:t>
            </w:r>
            <w:r w:rsidRPr="00297521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221365004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504122008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7521" w:rsidRPr="00E865B8" w:rsidRDefault="0029752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1808047811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7521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7521" w:rsidTr="00DC50A5">
        <w:tc>
          <w:tcPr>
            <w:tcW w:w="540" w:type="dxa"/>
            <w:tcBorders>
              <w:top w:val="nil"/>
              <w:bottom w:val="nil"/>
            </w:tcBorders>
          </w:tcPr>
          <w:p w:rsidR="00297521" w:rsidRDefault="00297521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pStyle w:val="ListParagraph"/>
              <w:numPr>
                <w:ilvl w:val="0"/>
                <w:numId w:val="7"/>
              </w:numPr>
              <w:ind w:left="342" w:hanging="360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The patterns of precipitation in the region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jc w:val="center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264.601(b)(</w:t>
            </w:r>
            <w:r>
              <w:rPr>
                <w:rFonts w:ascii="Arial Narrow" w:hAnsi="Arial Narrow"/>
              </w:rPr>
              <w:t>4</w:t>
            </w:r>
            <w:r w:rsidRPr="00297521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57026096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2059897945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7521" w:rsidRPr="00E865B8" w:rsidRDefault="0029752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2028943783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7521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7521" w:rsidTr="00DC50A5">
        <w:tc>
          <w:tcPr>
            <w:tcW w:w="540" w:type="dxa"/>
            <w:tcBorders>
              <w:top w:val="nil"/>
              <w:bottom w:val="nil"/>
            </w:tcBorders>
          </w:tcPr>
          <w:p w:rsidR="00297521" w:rsidRDefault="00297521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pStyle w:val="ListParagraph"/>
              <w:numPr>
                <w:ilvl w:val="0"/>
                <w:numId w:val="7"/>
              </w:numPr>
              <w:ind w:left="342" w:hanging="360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The quantity, quality, and direction of ground-water flow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jc w:val="center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264.601(b)(</w:t>
            </w:r>
            <w:r>
              <w:rPr>
                <w:rFonts w:ascii="Arial Narrow" w:hAnsi="Arial Narrow"/>
              </w:rPr>
              <w:t>5</w:t>
            </w:r>
            <w:r w:rsidRPr="00297521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1254823874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36228153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7521" w:rsidRPr="00E865B8" w:rsidRDefault="0029752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801297364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7521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7521" w:rsidTr="00DC50A5">
        <w:tc>
          <w:tcPr>
            <w:tcW w:w="540" w:type="dxa"/>
            <w:tcBorders>
              <w:top w:val="nil"/>
              <w:bottom w:val="nil"/>
            </w:tcBorders>
          </w:tcPr>
          <w:p w:rsidR="00297521" w:rsidRDefault="00297521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pStyle w:val="ListParagraph"/>
              <w:numPr>
                <w:ilvl w:val="0"/>
                <w:numId w:val="7"/>
              </w:numPr>
              <w:ind w:left="342" w:hanging="360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The proximity of the unit to surface waters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jc w:val="center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264.601(b)(</w:t>
            </w:r>
            <w:r>
              <w:rPr>
                <w:rFonts w:ascii="Arial Narrow" w:hAnsi="Arial Narrow"/>
              </w:rPr>
              <w:t>6</w:t>
            </w:r>
            <w:r w:rsidRPr="00297521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588157930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721371797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7521" w:rsidRPr="00E865B8" w:rsidRDefault="0029752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411134331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7521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7521" w:rsidTr="00DC50A5">
        <w:tc>
          <w:tcPr>
            <w:tcW w:w="540" w:type="dxa"/>
            <w:tcBorders>
              <w:top w:val="nil"/>
              <w:bottom w:val="nil"/>
            </w:tcBorders>
          </w:tcPr>
          <w:p w:rsidR="00297521" w:rsidRDefault="00297521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pStyle w:val="ListParagraph"/>
              <w:numPr>
                <w:ilvl w:val="0"/>
                <w:numId w:val="7"/>
              </w:numPr>
              <w:ind w:left="342" w:hanging="360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The current and potential uses of nearby surface waters and any water quality standards established for those surface waters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jc w:val="center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264.601(b)(</w:t>
            </w:r>
            <w:r>
              <w:rPr>
                <w:rFonts w:ascii="Arial Narrow" w:hAnsi="Arial Narrow"/>
              </w:rPr>
              <w:t>7</w:t>
            </w:r>
            <w:r w:rsidRPr="00297521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119992787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670069591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7521" w:rsidRPr="00E865B8" w:rsidRDefault="0029752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137488319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7521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7521" w:rsidTr="00DC50A5">
        <w:tc>
          <w:tcPr>
            <w:tcW w:w="540" w:type="dxa"/>
            <w:tcBorders>
              <w:top w:val="nil"/>
              <w:bottom w:val="nil"/>
            </w:tcBorders>
          </w:tcPr>
          <w:p w:rsidR="00297521" w:rsidRDefault="00297521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pStyle w:val="ListParagraph"/>
              <w:numPr>
                <w:ilvl w:val="0"/>
                <w:numId w:val="7"/>
              </w:numPr>
              <w:ind w:left="342" w:hanging="360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The existing quality of surface waters and surface soils, including other sources of contamination and their cumulative impact on surface waters and surface soils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jc w:val="center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264.601(b)(</w:t>
            </w:r>
            <w:r>
              <w:rPr>
                <w:rFonts w:ascii="Arial Narrow" w:hAnsi="Arial Narrow"/>
              </w:rPr>
              <w:t>8</w:t>
            </w:r>
            <w:r w:rsidRPr="00297521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829206724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65474681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7521" w:rsidRPr="00E865B8" w:rsidRDefault="0029752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1010190526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7521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7521" w:rsidTr="00DC50A5">
        <w:tc>
          <w:tcPr>
            <w:tcW w:w="540" w:type="dxa"/>
            <w:tcBorders>
              <w:top w:val="nil"/>
              <w:bottom w:val="nil"/>
            </w:tcBorders>
          </w:tcPr>
          <w:p w:rsidR="00297521" w:rsidRDefault="00297521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pStyle w:val="ListParagraph"/>
              <w:numPr>
                <w:ilvl w:val="0"/>
                <w:numId w:val="7"/>
              </w:numPr>
              <w:ind w:left="342" w:hanging="360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The patterns of land use in the region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jc w:val="center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264.601(b)(</w:t>
            </w:r>
            <w:r>
              <w:rPr>
                <w:rFonts w:ascii="Arial Narrow" w:hAnsi="Arial Narrow"/>
              </w:rPr>
              <w:t>9</w:t>
            </w:r>
            <w:r w:rsidRPr="00297521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119602129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869448270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7521" w:rsidRPr="00E865B8" w:rsidRDefault="0029752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547500995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7521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7521" w:rsidTr="00DC50A5">
        <w:tc>
          <w:tcPr>
            <w:tcW w:w="540" w:type="dxa"/>
            <w:tcBorders>
              <w:top w:val="nil"/>
              <w:bottom w:val="nil"/>
            </w:tcBorders>
          </w:tcPr>
          <w:p w:rsidR="00297521" w:rsidRDefault="00297521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pStyle w:val="ListParagraph"/>
              <w:numPr>
                <w:ilvl w:val="0"/>
                <w:numId w:val="7"/>
              </w:numPr>
              <w:ind w:left="342" w:hanging="360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The potential for health risks caused by human exposure to waste constituents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jc w:val="center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264.601(b)(</w:t>
            </w:r>
            <w:r>
              <w:rPr>
                <w:rFonts w:ascii="Arial Narrow" w:hAnsi="Arial Narrow"/>
              </w:rPr>
              <w:t>10</w:t>
            </w:r>
            <w:r w:rsidRPr="00297521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582428601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554976935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7521" w:rsidRPr="00E865B8" w:rsidRDefault="0029752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842312053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7521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7521" w:rsidTr="00DC50A5">
        <w:tc>
          <w:tcPr>
            <w:tcW w:w="540" w:type="dxa"/>
            <w:tcBorders>
              <w:top w:val="nil"/>
              <w:bottom w:val="nil"/>
            </w:tcBorders>
          </w:tcPr>
          <w:p w:rsidR="00297521" w:rsidRDefault="00297521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Default="00297521" w:rsidP="00297521">
            <w:pPr>
              <w:pStyle w:val="ListParagraph"/>
              <w:numPr>
                <w:ilvl w:val="0"/>
                <w:numId w:val="7"/>
              </w:numPr>
              <w:ind w:left="342" w:hanging="360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The potential for damage to domestic animals, wildlife, crops, vegetation, and physical structures caused by exposure to waste constituents</w:t>
            </w:r>
            <w:r>
              <w:rPr>
                <w:rFonts w:ascii="Arial Narrow" w:hAnsi="Arial Narrow"/>
              </w:rPr>
              <w:t>.</w:t>
            </w:r>
          </w:p>
          <w:p w:rsidR="00297521" w:rsidRPr="00297521" w:rsidRDefault="00297521" w:rsidP="00297521">
            <w:pPr>
              <w:pStyle w:val="ListParagraph"/>
              <w:ind w:left="342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97521" w:rsidRPr="00297521" w:rsidRDefault="00297521" w:rsidP="00297521">
            <w:pPr>
              <w:jc w:val="center"/>
              <w:rPr>
                <w:rFonts w:ascii="Arial Narrow" w:hAnsi="Arial Narrow"/>
              </w:rPr>
            </w:pPr>
            <w:r w:rsidRPr="00297521">
              <w:rPr>
                <w:rFonts w:ascii="Arial Narrow" w:hAnsi="Arial Narrow"/>
              </w:rPr>
              <w:t>264.601(b)(1</w:t>
            </w:r>
            <w:r>
              <w:rPr>
                <w:rFonts w:ascii="Arial Narrow" w:hAnsi="Arial Narrow"/>
              </w:rPr>
              <w:t>1</w:t>
            </w:r>
            <w:r w:rsidRPr="00297521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1550034210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744062615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297521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7521" w:rsidRPr="00E865B8" w:rsidRDefault="00297521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193820029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97521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50A5" w:rsidTr="00DC50A5">
        <w:tc>
          <w:tcPr>
            <w:tcW w:w="540" w:type="dxa"/>
            <w:tcBorders>
              <w:top w:val="nil"/>
              <w:bottom w:val="nil"/>
            </w:tcBorders>
          </w:tcPr>
          <w:p w:rsidR="00DC50A5" w:rsidRDefault="00DC50A5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C50A5" w:rsidRDefault="00DC50A5" w:rsidP="00DC50A5">
            <w:pPr>
              <w:rPr>
                <w:rFonts w:ascii="Arial Narrow" w:hAnsi="Arial Narrow"/>
                <w:b/>
              </w:rPr>
            </w:pPr>
            <w:r w:rsidRPr="00DC50A5">
              <w:rPr>
                <w:rFonts w:ascii="Arial Narrow" w:hAnsi="Arial Narrow"/>
                <w:b/>
              </w:rPr>
              <w:t>D.4.3   Protection of the Atmosphere</w:t>
            </w:r>
          </w:p>
          <w:p w:rsidR="00DC50A5" w:rsidRDefault="00DC50A5" w:rsidP="00DC50A5">
            <w:pPr>
              <w:rPr>
                <w:rFonts w:ascii="Arial Narrow" w:hAnsi="Arial Narrow"/>
                <w:b/>
              </w:rPr>
            </w:pPr>
          </w:p>
          <w:p w:rsidR="00DC50A5" w:rsidRPr="008C41DB" w:rsidRDefault="00DC50A5" w:rsidP="00DC50A5">
            <w:pPr>
              <w:rPr>
                <w:rFonts w:ascii="Arial Narrow" w:hAnsi="Arial Narrow"/>
              </w:rPr>
            </w:pPr>
            <w:r w:rsidRPr="008C41DB">
              <w:rPr>
                <w:rFonts w:ascii="Arial Narrow" w:hAnsi="Arial Narrow"/>
              </w:rPr>
              <w:t xml:space="preserve">Applicant shall conduct an assessment on adverse effects on human health or the environment due to migration of waste constituents in the </w:t>
            </w:r>
            <w:r>
              <w:rPr>
                <w:rFonts w:ascii="Arial Narrow" w:hAnsi="Arial Narrow"/>
              </w:rPr>
              <w:t>atmosphere</w:t>
            </w:r>
            <w:r w:rsidRPr="008C41DB">
              <w:rPr>
                <w:rFonts w:ascii="Arial Narrow" w:hAnsi="Arial Narrow"/>
              </w:rPr>
              <w:t>, and, at the minimum, shall include the following information:</w:t>
            </w:r>
          </w:p>
          <w:p w:rsidR="00DC50A5" w:rsidRPr="00DC50A5" w:rsidRDefault="00DC50A5" w:rsidP="00DC50A5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C50A5" w:rsidRPr="00297521" w:rsidRDefault="00DC50A5" w:rsidP="002975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270.23(b), (c); 264.601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50A5" w:rsidRPr="00E865B8" w:rsidRDefault="00DC50A5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50A5" w:rsidRPr="00E865B8" w:rsidRDefault="00DC50A5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C50A5" w:rsidRPr="00E865B8" w:rsidRDefault="00DC50A5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DC50A5" w:rsidRPr="007205BD" w:rsidRDefault="00DC50A5" w:rsidP="000064F4">
            <w:pPr>
              <w:rPr>
                <w:rFonts w:ascii="Arial Narrow" w:hAnsi="Arial Narrow"/>
                <w:i/>
              </w:rPr>
            </w:pPr>
          </w:p>
        </w:tc>
      </w:tr>
      <w:tr w:rsidR="00DC50A5" w:rsidTr="00DC50A5">
        <w:tc>
          <w:tcPr>
            <w:tcW w:w="540" w:type="dxa"/>
            <w:tcBorders>
              <w:top w:val="nil"/>
              <w:bottom w:val="nil"/>
            </w:tcBorders>
          </w:tcPr>
          <w:p w:rsidR="00DC50A5" w:rsidRDefault="00DC50A5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C50A5" w:rsidRPr="00DC50A5" w:rsidRDefault="00DC50A5" w:rsidP="00DC50A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Potential for </w:t>
            </w:r>
            <w:r w:rsidRPr="00DC50A5">
              <w:rPr>
                <w:rFonts w:ascii="Arial Narrow" w:hAnsi="Arial Narrow"/>
              </w:rPr>
              <w:t>emission and dispersal of gases, aerosols and particulates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C50A5" w:rsidRDefault="00DC50A5" w:rsidP="00DC50A5">
            <w:pPr>
              <w:jc w:val="center"/>
              <w:rPr>
                <w:rFonts w:ascii="Arial Narrow" w:hAnsi="Arial Narrow"/>
              </w:rPr>
            </w:pPr>
            <w:r w:rsidRPr="00DC50A5">
              <w:rPr>
                <w:rFonts w:ascii="Arial Narrow" w:hAnsi="Arial Narrow"/>
              </w:rPr>
              <w:t>264.601(</w:t>
            </w:r>
            <w:r>
              <w:rPr>
                <w:rFonts w:ascii="Arial Narrow" w:hAnsi="Arial Narrow"/>
              </w:rPr>
              <w:t>c</w:t>
            </w:r>
            <w:r w:rsidRPr="00DC50A5">
              <w:rPr>
                <w:rFonts w:ascii="Arial Narrow" w:hAnsi="Arial Narrow"/>
              </w:rPr>
              <w:t>)(</w:t>
            </w:r>
            <w:r>
              <w:rPr>
                <w:rFonts w:ascii="Arial Narrow" w:hAnsi="Arial Narrow"/>
              </w:rPr>
              <w:t>1</w:t>
            </w:r>
            <w:r w:rsidRPr="00DC50A5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1752961299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DC50A5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541018459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DC50A5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0A5" w:rsidRPr="00E865B8" w:rsidRDefault="00DC50A5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813177252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50A5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50A5" w:rsidTr="00DC50A5">
        <w:tc>
          <w:tcPr>
            <w:tcW w:w="540" w:type="dxa"/>
            <w:tcBorders>
              <w:top w:val="nil"/>
              <w:bottom w:val="nil"/>
            </w:tcBorders>
          </w:tcPr>
          <w:p w:rsidR="00DC50A5" w:rsidRDefault="00DC50A5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C50A5" w:rsidRDefault="00DC50A5" w:rsidP="00DC50A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 Narrow" w:hAnsi="Arial Narrow"/>
              </w:rPr>
            </w:pPr>
            <w:r w:rsidRPr="00DC50A5">
              <w:rPr>
                <w:rFonts w:ascii="Arial Narrow" w:hAnsi="Arial Narrow"/>
              </w:rPr>
              <w:t>The effectiveness and reliability of systems and structures to reduce or prevent emissions of hazardous constituents to the air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C50A5" w:rsidRPr="00DC50A5" w:rsidRDefault="00DC50A5" w:rsidP="00DC50A5">
            <w:pPr>
              <w:jc w:val="center"/>
              <w:rPr>
                <w:rFonts w:ascii="Arial Narrow" w:hAnsi="Arial Narrow"/>
              </w:rPr>
            </w:pPr>
            <w:r w:rsidRPr="00DC50A5">
              <w:rPr>
                <w:rFonts w:ascii="Arial Narrow" w:hAnsi="Arial Narrow"/>
              </w:rPr>
              <w:t>264.601(c)(</w:t>
            </w:r>
            <w:r>
              <w:rPr>
                <w:rFonts w:ascii="Arial Narrow" w:hAnsi="Arial Narrow"/>
              </w:rPr>
              <w:t>2</w:t>
            </w:r>
            <w:r w:rsidRPr="00DC50A5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999657601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DC50A5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394964423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DC50A5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0A5" w:rsidRPr="00E865B8" w:rsidRDefault="00DC50A5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1639376733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50A5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C50A5" w:rsidTr="00FF1476">
        <w:tc>
          <w:tcPr>
            <w:tcW w:w="540" w:type="dxa"/>
            <w:tcBorders>
              <w:top w:val="nil"/>
              <w:bottom w:val="nil"/>
            </w:tcBorders>
          </w:tcPr>
          <w:p w:rsidR="00DC50A5" w:rsidRDefault="00DC50A5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DC50A5" w:rsidRPr="00DC50A5" w:rsidRDefault="00DC50A5" w:rsidP="00DC50A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 Narrow" w:hAnsi="Arial Narrow"/>
              </w:rPr>
            </w:pPr>
            <w:r w:rsidRPr="00DC50A5">
              <w:rPr>
                <w:rFonts w:ascii="Arial Narrow" w:hAnsi="Arial Narrow"/>
              </w:rPr>
              <w:t xml:space="preserve">The operating characteristics of the </w:t>
            </w:r>
            <w:r w:rsidR="00FF1476">
              <w:rPr>
                <w:rFonts w:ascii="Arial Narrow" w:hAnsi="Arial Narrow"/>
              </w:rPr>
              <w:t xml:space="preserve">miscellaneous </w:t>
            </w:r>
            <w:r w:rsidRPr="00DC50A5">
              <w:rPr>
                <w:rFonts w:ascii="Arial Narrow" w:hAnsi="Arial Narrow"/>
              </w:rPr>
              <w:t>unit</w:t>
            </w:r>
            <w:r w:rsidR="00FF1476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DC50A5" w:rsidRPr="00DC50A5" w:rsidRDefault="00FF1476" w:rsidP="00FF1476">
            <w:pPr>
              <w:jc w:val="center"/>
              <w:rPr>
                <w:rFonts w:ascii="Arial Narrow" w:hAnsi="Arial Narrow"/>
              </w:rPr>
            </w:pPr>
            <w:r w:rsidRPr="00FF1476">
              <w:rPr>
                <w:rFonts w:ascii="Arial Narrow" w:hAnsi="Arial Narrow"/>
              </w:rPr>
              <w:t>264.601(c)(</w:t>
            </w:r>
            <w:r>
              <w:rPr>
                <w:rFonts w:ascii="Arial Narrow" w:hAnsi="Arial Narrow"/>
              </w:rPr>
              <w:t>3</w:t>
            </w:r>
            <w:r w:rsidRPr="00FF1476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1136534294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DC50A5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241604698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DC50A5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C50A5" w:rsidRPr="00E865B8" w:rsidRDefault="00DC50A5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1949586513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DC50A5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1476" w:rsidTr="00FF1476">
        <w:tc>
          <w:tcPr>
            <w:tcW w:w="540" w:type="dxa"/>
            <w:tcBorders>
              <w:top w:val="nil"/>
              <w:bottom w:val="nil"/>
            </w:tcBorders>
          </w:tcPr>
          <w:p w:rsidR="00FF1476" w:rsidRDefault="00FF1476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1476" w:rsidRPr="00DC50A5" w:rsidRDefault="00FF1476" w:rsidP="00DC50A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 Narrow" w:hAnsi="Arial Narrow"/>
              </w:rPr>
            </w:pPr>
            <w:r w:rsidRPr="00FF1476">
              <w:rPr>
                <w:rFonts w:ascii="Arial Narrow" w:hAnsi="Arial Narrow"/>
              </w:rPr>
              <w:t>The atmospheric, meteorological, and topographic characteristics of the unit and the surrounding area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1476" w:rsidRPr="00FF1476" w:rsidRDefault="00FF1476" w:rsidP="00FF1476">
            <w:pPr>
              <w:jc w:val="center"/>
              <w:rPr>
                <w:rFonts w:ascii="Arial Narrow" w:hAnsi="Arial Narrow"/>
              </w:rPr>
            </w:pPr>
            <w:r w:rsidRPr="00FF1476">
              <w:rPr>
                <w:rFonts w:ascii="Arial Narrow" w:hAnsi="Arial Narrow"/>
              </w:rPr>
              <w:t>264.601(c)(</w:t>
            </w:r>
            <w:r>
              <w:rPr>
                <w:rFonts w:ascii="Arial Narrow" w:hAnsi="Arial Narrow"/>
              </w:rPr>
              <w:t>4</w:t>
            </w:r>
            <w:r w:rsidRPr="00FF1476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69000817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FF1476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221803296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FF1476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476" w:rsidRPr="00E865B8" w:rsidRDefault="00FF1476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301919055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F1476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1476" w:rsidTr="00FF1476">
        <w:tc>
          <w:tcPr>
            <w:tcW w:w="540" w:type="dxa"/>
            <w:tcBorders>
              <w:top w:val="nil"/>
              <w:bottom w:val="nil"/>
            </w:tcBorders>
          </w:tcPr>
          <w:p w:rsidR="00FF1476" w:rsidRDefault="00FF1476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1476" w:rsidRPr="00FF1476" w:rsidRDefault="00FF1476" w:rsidP="00DC50A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 Narrow" w:hAnsi="Arial Narrow"/>
              </w:rPr>
            </w:pPr>
            <w:r w:rsidRPr="00FF1476">
              <w:rPr>
                <w:rFonts w:ascii="Arial Narrow" w:hAnsi="Arial Narrow"/>
              </w:rPr>
              <w:t>The existing quality of the air, including other sources of contamination and their cumulative impact on the air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1476" w:rsidRPr="00FF1476" w:rsidRDefault="00FF1476" w:rsidP="00FF1476">
            <w:pPr>
              <w:jc w:val="center"/>
              <w:rPr>
                <w:rFonts w:ascii="Arial Narrow" w:hAnsi="Arial Narrow"/>
              </w:rPr>
            </w:pPr>
            <w:r w:rsidRPr="00FF1476">
              <w:rPr>
                <w:rFonts w:ascii="Arial Narrow" w:hAnsi="Arial Narrow"/>
              </w:rPr>
              <w:t>264.601(c)(</w:t>
            </w:r>
            <w:r>
              <w:rPr>
                <w:rFonts w:ascii="Arial Narrow" w:hAnsi="Arial Narrow"/>
              </w:rPr>
              <w:t>5</w:t>
            </w:r>
            <w:r w:rsidRPr="00FF1476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214551000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FF1476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74386560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FF1476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476" w:rsidRPr="00E865B8" w:rsidRDefault="00FF1476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-1321184638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F1476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1476" w:rsidTr="00FF1476">
        <w:tc>
          <w:tcPr>
            <w:tcW w:w="540" w:type="dxa"/>
            <w:tcBorders>
              <w:top w:val="nil"/>
              <w:bottom w:val="nil"/>
            </w:tcBorders>
          </w:tcPr>
          <w:p w:rsidR="00FF1476" w:rsidRDefault="00FF1476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1476" w:rsidRPr="00FF1476" w:rsidRDefault="00FF1476" w:rsidP="00DC50A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 Narrow" w:hAnsi="Arial Narrow"/>
              </w:rPr>
            </w:pPr>
            <w:r w:rsidRPr="00FF1476">
              <w:rPr>
                <w:rFonts w:ascii="Arial Narrow" w:hAnsi="Arial Narrow"/>
              </w:rPr>
              <w:t>The potential for health risks caused by human exposure to waste constituents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1476" w:rsidRPr="00FF1476" w:rsidRDefault="00FF1476" w:rsidP="00FF1476">
            <w:pPr>
              <w:jc w:val="center"/>
              <w:rPr>
                <w:rFonts w:ascii="Arial Narrow" w:hAnsi="Arial Narrow"/>
              </w:rPr>
            </w:pPr>
            <w:bookmarkStart w:id="0" w:name="OLE_LINK1"/>
            <w:bookmarkStart w:id="1" w:name="OLE_LINK2"/>
            <w:r w:rsidRPr="00FF1476">
              <w:rPr>
                <w:rFonts w:ascii="Arial Narrow" w:hAnsi="Arial Narrow"/>
              </w:rPr>
              <w:t>264.601(c)(</w:t>
            </w:r>
            <w:r>
              <w:rPr>
                <w:rFonts w:ascii="Arial Narrow" w:hAnsi="Arial Narrow"/>
              </w:rPr>
              <w:t>6</w:t>
            </w:r>
            <w:r w:rsidRPr="00FF1476">
              <w:rPr>
                <w:rFonts w:ascii="Arial Narrow" w:hAnsi="Arial Narrow"/>
              </w:rPr>
              <w:t>)</w:t>
            </w:r>
            <w:bookmarkEnd w:id="0"/>
            <w:bookmarkEnd w:id="1"/>
          </w:p>
        </w:tc>
        <w:sdt>
          <w:sdtPr>
            <w:rPr>
              <w:rFonts w:ascii="Arial Narrow" w:hAnsi="Arial Narrow"/>
              <w:b/>
            </w:rPr>
            <w:id w:val="-1685121970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FF1476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1221796248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FF1476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476" w:rsidRPr="00E865B8" w:rsidRDefault="00FF1476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419996590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F1476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F1476" w:rsidTr="002F45E8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FF1476" w:rsidRDefault="00FF1476" w:rsidP="00B74B5D">
            <w:pPr>
              <w:ind w:left="337" w:hanging="337"/>
              <w:rPr>
                <w:rFonts w:ascii="Arial Narrow" w:hAnsi="Arial Narrow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FF1476" w:rsidRDefault="00FF1476" w:rsidP="00DC50A5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Arial Narrow" w:hAnsi="Arial Narrow"/>
              </w:rPr>
            </w:pPr>
            <w:r w:rsidRPr="00FF1476">
              <w:rPr>
                <w:rFonts w:ascii="Arial Narrow" w:hAnsi="Arial Narrow"/>
              </w:rPr>
              <w:t>The potential for damage to domestic animals, wildlife, crops, vegetation, and physical structures caused by exposure to waste constituents</w:t>
            </w:r>
            <w:r>
              <w:rPr>
                <w:rFonts w:ascii="Arial Narrow" w:hAnsi="Arial Narrow"/>
              </w:rPr>
              <w:t>.</w:t>
            </w:r>
          </w:p>
          <w:p w:rsidR="002F45E8" w:rsidRPr="00FF1476" w:rsidRDefault="002F45E8" w:rsidP="002F45E8">
            <w:pPr>
              <w:pStyle w:val="ListParagraph"/>
              <w:ind w:left="342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FF1476" w:rsidRPr="00FF1476" w:rsidRDefault="00FF1476" w:rsidP="00FF1476">
            <w:pPr>
              <w:jc w:val="center"/>
              <w:rPr>
                <w:rFonts w:ascii="Arial Narrow" w:hAnsi="Arial Narrow"/>
              </w:rPr>
            </w:pPr>
            <w:r w:rsidRPr="00FF1476">
              <w:rPr>
                <w:rFonts w:ascii="Arial Narrow" w:hAnsi="Arial Narrow"/>
              </w:rPr>
              <w:t>264.601(c)(</w:t>
            </w:r>
            <w:r>
              <w:rPr>
                <w:rFonts w:ascii="Arial Narrow" w:hAnsi="Arial Narrow"/>
              </w:rPr>
              <w:t>7</w:t>
            </w:r>
            <w:r w:rsidRPr="00FF1476">
              <w:rPr>
                <w:rFonts w:ascii="Arial Narrow" w:hAnsi="Arial Narrow"/>
              </w:rPr>
              <w:t>)</w:t>
            </w:r>
          </w:p>
        </w:tc>
        <w:sdt>
          <w:sdtPr>
            <w:rPr>
              <w:rFonts w:ascii="Arial Narrow" w:hAnsi="Arial Narrow"/>
              <w:b/>
            </w:rPr>
            <w:id w:val="-1495098518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FF1476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962032431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FF1476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1476" w:rsidRPr="00E865B8" w:rsidRDefault="00FF1476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sdt>
          <w:sdtPr>
            <w:rPr>
              <w:rFonts w:ascii="Arial Narrow" w:hAnsi="Arial Narrow"/>
              <w:i/>
            </w:rPr>
            <w:id w:val="874353417"/>
            <w:placeholder>
              <w:docPart w:val="DefaultPlaceholder_1081868574"/>
            </w:placeholder>
            <w:showingPlcHdr/>
          </w:sdtPr>
          <w:sdtContent>
            <w:tc>
              <w:tcPr>
                <w:tcW w:w="459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FF1476" w:rsidRPr="007205BD" w:rsidRDefault="00B5236C" w:rsidP="000064F4">
                <w:pPr>
                  <w:rPr>
                    <w:rFonts w:ascii="Arial Narrow" w:hAnsi="Arial Narrow"/>
                    <w:i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45E8" w:rsidTr="002F45E8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F45E8" w:rsidRDefault="002F45E8" w:rsidP="00B74B5D">
            <w:pPr>
              <w:ind w:left="337" w:hanging="33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D.5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13B3A" w:rsidRDefault="002F45E8" w:rsidP="00913B3A">
            <w:pPr>
              <w:rPr>
                <w:rFonts w:ascii="Arial Narrow" w:hAnsi="Arial Narrow"/>
                <w:b/>
              </w:rPr>
            </w:pPr>
            <w:r w:rsidRPr="002F45E8">
              <w:rPr>
                <w:rFonts w:ascii="Arial Narrow" w:hAnsi="Arial Narrow"/>
                <w:b/>
              </w:rPr>
              <w:t xml:space="preserve">Monitoring, Analysis, Inspection, Response, Reporting, and Corrective Action </w:t>
            </w:r>
          </w:p>
          <w:p w:rsidR="00913B3A" w:rsidRDefault="00913B3A" w:rsidP="00913B3A">
            <w:pPr>
              <w:rPr>
                <w:rFonts w:ascii="Arial Narrow" w:hAnsi="Arial Narrow"/>
                <w:b/>
              </w:rPr>
            </w:pPr>
          </w:p>
          <w:p w:rsidR="002F45E8" w:rsidRDefault="00913B3A" w:rsidP="00913B3A">
            <w:pPr>
              <w:rPr>
                <w:rFonts w:ascii="Arial Narrow" w:hAnsi="Arial Narrow"/>
              </w:rPr>
            </w:pPr>
            <w:r w:rsidRPr="00913B3A">
              <w:rPr>
                <w:rFonts w:ascii="Arial Narrow" w:hAnsi="Arial Narrow"/>
              </w:rPr>
              <w:t>Demonstrate that m</w:t>
            </w:r>
            <w:r w:rsidR="002F45E8" w:rsidRPr="00913B3A">
              <w:rPr>
                <w:rFonts w:ascii="Arial Narrow" w:hAnsi="Arial Narrow"/>
              </w:rPr>
              <w:t xml:space="preserve">onitoring, testing, analytical data, inspections, response, and reporting procedures and frequencies </w:t>
            </w:r>
            <w:r w:rsidRPr="00913B3A">
              <w:rPr>
                <w:rFonts w:ascii="Arial Narrow" w:hAnsi="Arial Narrow"/>
              </w:rPr>
              <w:t xml:space="preserve">are in </w:t>
            </w:r>
            <w:r w:rsidR="002F45E8" w:rsidRPr="00913B3A">
              <w:rPr>
                <w:rFonts w:ascii="Arial Narrow" w:hAnsi="Arial Narrow"/>
              </w:rPr>
              <w:t>compliance with</w:t>
            </w:r>
            <w:r>
              <w:rPr>
                <w:rFonts w:ascii="Arial Narrow" w:hAnsi="Arial Narrow"/>
              </w:rPr>
              <w:t xml:space="preserve"> 40 CFR Part </w:t>
            </w:r>
            <w:r w:rsidR="002F45E8" w:rsidRPr="00913B3A">
              <w:rPr>
                <w:rFonts w:ascii="Arial Narrow" w:hAnsi="Arial Narrow"/>
              </w:rPr>
              <w:t>264.601, 264.15, 264.33, 264.75, 264.76, 264.77, and 264.101 as well as meet any additional requirements needed to protect human health and the environment as specified in the permit.</w:t>
            </w:r>
          </w:p>
          <w:p w:rsidR="00913B3A" w:rsidRPr="00913B3A" w:rsidRDefault="00913B3A" w:rsidP="00913B3A">
            <w:pPr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F45E8" w:rsidRPr="00FF1476" w:rsidRDefault="002F45E8" w:rsidP="00FF14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270.23(a); 264.602</w:t>
            </w:r>
          </w:p>
        </w:tc>
        <w:sdt>
          <w:sdtPr>
            <w:rPr>
              <w:rFonts w:ascii="Arial Narrow" w:hAnsi="Arial Narrow"/>
              <w:b/>
            </w:rPr>
            <w:id w:val="357246161"/>
            <w:placeholder>
              <w:docPart w:val="DefaultPlaceholder_1081868574"/>
            </w:placeholder>
            <w:showingPlcHdr/>
          </w:sdtPr>
          <w:sdtContent>
            <w:tc>
              <w:tcPr>
                <w:tcW w:w="1170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2F45E8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190903067"/>
            <w:placeholder>
              <w:docPart w:val="DefaultPlaceholder_1081868574"/>
            </w:placeholder>
            <w:showingPlcHdr/>
          </w:sdt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2F45E8" w:rsidRPr="00E865B8" w:rsidRDefault="00B5236C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367E7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F45E8" w:rsidRPr="00E865B8" w:rsidRDefault="002F45E8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sdt>
            <w:sdtPr>
              <w:rPr>
                <w:rFonts w:ascii="Arial Narrow" w:hAnsi="Arial Narrow"/>
                <w:i/>
              </w:rPr>
              <w:id w:val="-1765599448"/>
              <w:placeholder>
                <w:docPart w:val="DefaultPlaceholder_1081868574"/>
              </w:placeholder>
            </w:sdtPr>
            <w:sdtContent>
              <w:bookmarkStart w:id="2" w:name="_GoBack" w:displacedByCustomXml="prev"/>
              <w:p w:rsidR="002F45E8" w:rsidRDefault="006654DB" w:rsidP="000064F4">
                <w:pPr>
                  <w:rPr>
                    <w:rFonts w:ascii="Arial Narrow" w:hAnsi="Arial Narrow"/>
                    <w:i/>
                  </w:rPr>
                </w:pPr>
                <w:r>
                  <w:rPr>
                    <w:rFonts w:ascii="Arial Narrow" w:hAnsi="Arial Narrow"/>
                    <w:i/>
                  </w:rPr>
                  <w:t xml:space="preserve">Monitoring program must include procedures for sampling, analysis, and evaluation of data, suitable response procedures, and a regular inspection schedule. </w:t>
                </w:r>
              </w:p>
              <w:p w:rsidR="006654DB" w:rsidRDefault="006654DB" w:rsidP="000064F4">
                <w:pPr>
                  <w:rPr>
                    <w:rFonts w:ascii="Arial Narrow" w:hAnsi="Arial Narrow"/>
                    <w:i/>
                  </w:rPr>
                </w:pPr>
              </w:p>
              <w:p w:rsidR="006654DB" w:rsidRPr="007205BD" w:rsidRDefault="006654DB" w:rsidP="000064F4">
                <w:pPr>
                  <w:rPr>
                    <w:rFonts w:ascii="Arial Narrow" w:hAnsi="Arial Narrow"/>
                    <w:i/>
                  </w:rPr>
                </w:pPr>
                <w:r>
                  <w:rPr>
                    <w:rFonts w:ascii="Arial Narrow" w:hAnsi="Arial Narrow"/>
                    <w:i/>
                  </w:rPr>
                  <w:t xml:space="preserve">For situation in which ambient air monitoring would be unsafe or impractical, possible alternatives may include analysis of waste, emissions measurements, and periodic monitoring with portable detectors. </w:t>
                </w:r>
              </w:p>
              <w:bookmarkEnd w:id="2" w:displacedByCustomXml="next"/>
            </w:sdtContent>
          </w:sdt>
        </w:tc>
      </w:tr>
    </w:tbl>
    <w:p w:rsidR="00E12588" w:rsidRPr="00E12588" w:rsidRDefault="00E12588" w:rsidP="00AA71B3"/>
    <w:sectPr w:rsidR="00E12588" w:rsidRPr="00E12588" w:rsidSect="00663E0B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B4" w:rsidRDefault="00176CB4" w:rsidP="00E12588">
      <w:pPr>
        <w:spacing w:line="240" w:lineRule="auto"/>
      </w:pPr>
      <w:r>
        <w:separator/>
      </w:r>
    </w:p>
  </w:endnote>
  <w:endnote w:type="continuationSeparator" w:id="0">
    <w:p w:rsidR="00176CB4" w:rsidRDefault="00176CB4" w:rsidP="00E12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90459106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1219FF" w:rsidRDefault="001219FF" w:rsidP="00930809">
        <w:pPr>
          <w:pStyle w:val="Footer"/>
          <w:rPr>
            <w:i/>
          </w:rPr>
        </w:pPr>
        <w:r>
          <w:rPr>
            <w:i/>
          </w:rPr>
          <w:t>October 2020</w:t>
        </w:r>
      </w:p>
      <w:p w:rsidR="00176CB4" w:rsidRDefault="00176CB4" w:rsidP="00930809">
        <w:pPr>
          <w:pStyle w:val="Footer"/>
        </w:pP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  <w:t xml:space="preserve">      </w:t>
        </w:r>
      </w:p>
    </w:sdtContent>
  </w:sdt>
  <w:p w:rsidR="00176CB4" w:rsidRPr="0065333F" w:rsidRDefault="00176CB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B4" w:rsidRDefault="00176CB4" w:rsidP="00E12588">
      <w:pPr>
        <w:spacing w:line="240" w:lineRule="auto"/>
      </w:pPr>
      <w:r>
        <w:separator/>
      </w:r>
    </w:p>
  </w:footnote>
  <w:footnote w:type="continuationSeparator" w:id="0">
    <w:p w:rsidR="00176CB4" w:rsidRDefault="00176CB4" w:rsidP="00E12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B4" w:rsidRDefault="00176CB4" w:rsidP="007276B2">
    <w:pPr>
      <w:pStyle w:val="Header"/>
      <w:tabs>
        <w:tab w:val="clear" w:pos="9360"/>
        <w:tab w:val="right" w:pos="6480"/>
      </w:tabs>
      <w:rPr>
        <w:i/>
      </w:rPr>
    </w:pPr>
    <w:r>
      <w:rPr>
        <w:i/>
      </w:rPr>
      <w:t xml:space="preserve">Part D – Process Information – </w:t>
    </w:r>
    <w:r w:rsidR="00B5656E">
      <w:rPr>
        <w:i/>
      </w:rPr>
      <w:t>Miscellaneous Units</w:t>
    </w:r>
    <w:r>
      <w:rPr>
        <w:i/>
      </w:rPr>
      <w:t xml:space="preserve"> Checklist</w:t>
    </w:r>
    <w:r w:rsidR="007276B2">
      <w:rPr>
        <w:i/>
      </w:rPr>
      <w:tab/>
    </w:r>
    <w:r w:rsidR="007276B2">
      <w:rPr>
        <w:i/>
      </w:rPr>
      <w:tab/>
    </w:r>
    <w:r w:rsidR="007276B2">
      <w:rPr>
        <w:i/>
      </w:rPr>
      <w:tab/>
    </w:r>
    <w:r w:rsidR="007276B2">
      <w:rPr>
        <w:i/>
      </w:rPr>
      <w:tab/>
    </w:r>
    <w:r w:rsidR="007276B2" w:rsidRPr="007276B2">
      <w:rPr>
        <w:i/>
      </w:rPr>
      <w:t>Kentu</w:t>
    </w:r>
    <w:r w:rsidR="007276B2">
      <w:rPr>
        <w:i/>
      </w:rPr>
      <w:t>cky Division of Waste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FFE"/>
    <w:multiLevelType w:val="hybridMultilevel"/>
    <w:tmpl w:val="85047644"/>
    <w:lvl w:ilvl="0" w:tplc="8E9EC9AC">
      <w:start w:val="4"/>
      <w:numFmt w:val="lowerRoman"/>
      <w:lvlText w:val="%1.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8AB0F78"/>
    <w:multiLevelType w:val="hybridMultilevel"/>
    <w:tmpl w:val="8238130A"/>
    <w:lvl w:ilvl="0" w:tplc="650AC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91FF8"/>
    <w:multiLevelType w:val="hybridMultilevel"/>
    <w:tmpl w:val="71E4D0E2"/>
    <w:lvl w:ilvl="0" w:tplc="50A407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36530"/>
    <w:multiLevelType w:val="hybridMultilevel"/>
    <w:tmpl w:val="ED102676"/>
    <w:lvl w:ilvl="0" w:tplc="8E70C2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E0FE1"/>
    <w:multiLevelType w:val="hybridMultilevel"/>
    <w:tmpl w:val="60725E94"/>
    <w:lvl w:ilvl="0" w:tplc="DB444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1E2696D"/>
    <w:multiLevelType w:val="hybridMultilevel"/>
    <w:tmpl w:val="9BFA2DF4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6" w15:restartNumberingAfterBreak="0">
    <w:nsid w:val="711877F0"/>
    <w:multiLevelType w:val="hybridMultilevel"/>
    <w:tmpl w:val="2E5CE34A"/>
    <w:lvl w:ilvl="0" w:tplc="0A70AC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4305C"/>
    <w:multiLevelType w:val="hybridMultilevel"/>
    <w:tmpl w:val="0C08F4E4"/>
    <w:lvl w:ilvl="0" w:tplc="1AEC3B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ZAf/xkMWg15akSdnzxxBIDRoDG4pxBXn3Ij6BwP9wsKRf6PpQw5Be8zbvka61O78Bu5039RsVZe3K9uX3LfHmg==" w:salt="U1o2B8/7chK/bXbz3sFS3w==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0B"/>
    <w:rsid w:val="0000512B"/>
    <w:rsid w:val="000064F4"/>
    <w:rsid w:val="00010E81"/>
    <w:rsid w:val="0001754B"/>
    <w:rsid w:val="000212B0"/>
    <w:rsid w:val="00031B6F"/>
    <w:rsid w:val="0004100C"/>
    <w:rsid w:val="000521CB"/>
    <w:rsid w:val="000A580B"/>
    <w:rsid w:val="000B33B8"/>
    <w:rsid w:val="000B6472"/>
    <w:rsid w:val="000B7853"/>
    <w:rsid w:val="000C4C51"/>
    <w:rsid w:val="000D4234"/>
    <w:rsid w:val="000D7B9A"/>
    <w:rsid w:val="000E6FD2"/>
    <w:rsid w:val="000F2133"/>
    <w:rsid w:val="001219FF"/>
    <w:rsid w:val="00143107"/>
    <w:rsid w:val="00157EE1"/>
    <w:rsid w:val="0016025D"/>
    <w:rsid w:val="00161C0B"/>
    <w:rsid w:val="001713EF"/>
    <w:rsid w:val="00176CB4"/>
    <w:rsid w:val="00181AB9"/>
    <w:rsid w:val="0019052D"/>
    <w:rsid w:val="0019735D"/>
    <w:rsid w:val="001A0E2A"/>
    <w:rsid w:val="001A34D2"/>
    <w:rsid w:val="001A3F4E"/>
    <w:rsid w:val="001A5214"/>
    <w:rsid w:val="001B28A0"/>
    <w:rsid w:val="001B7549"/>
    <w:rsid w:val="001E5FCE"/>
    <w:rsid w:val="002137E0"/>
    <w:rsid w:val="002508C1"/>
    <w:rsid w:val="00252E0E"/>
    <w:rsid w:val="00253891"/>
    <w:rsid w:val="00255B25"/>
    <w:rsid w:val="00264D74"/>
    <w:rsid w:val="00277C48"/>
    <w:rsid w:val="00285A80"/>
    <w:rsid w:val="00297521"/>
    <w:rsid w:val="002C282F"/>
    <w:rsid w:val="002C3714"/>
    <w:rsid w:val="002C7ECE"/>
    <w:rsid w:val="002D3EA2"/>
    <w:rsid w:val="002F3F30"/>
    <w:rsid w:val="002F45E8"/>
    <w:rsid w:val="00306A23"/>
    <w:rsid w:val="00331E73"/>
    <w:rsid w:val="00336946"/>
    <w:rsid w:val="003609C5"/>
    <w:rsid w:val="003721B6"/>
    <w:rsid w:val="00372B69"/>
    <w:rsid w:val="00375D5A"/>
    <w:rsid w:val="00383E82"/>
    <w:rsid w:val="003876A2"/>
    <w:rsid w:val="00390853"/>
    <w:rsid w:val="003A6ACD"/>
    <w:rsid w:val="003B735D"/>
    <w:rsid w:val="003B75F0"/>
    <w:rsid w:val="003C28CB"/>
    <w:rsid w:val="003D1872"/>
    <w:rsid w:val="003F3567"/>
    <w:rsid w:val="003F75F4"/>
    <w:rsid w:val="003F7A85"/>
    <w:rsid w:val="00414966"/>
    <w:rsid w:val="00421F37"/>
    <w:rsid w:val="0044087B"/>
    <w:rsid w:val="00446AF9"/>
    <w:rsid w:val="0044767C"/>
    <w:rsid w:val="004523C9"/>
    <w:rsid w:val="00464B35"/>
    <w:rsid w:val="00467D44"/>
    <w:rsid w:val="00472B5E"/>
    <w:rsid w:val="00482AED"/>
    <w:rsid w:val="00487114"/>
    <w:rsid w:val="004C24B6"/>
    <w:rsid w:val="004D2811"/>
    <w:rsid w:val="004E5732"/>
    <w:rsid w:val="004F493C"/>
    <w:rsid w:val="00522271"/>
    <w:rsid w:val="005246BA"/>
    <w:rsid w:val="005261E8"/>
    <w:rsid w:val="00527E20"/>
    <w:rsid w:val="00546110"/>
    <w:rsid w:val="00552B06"/>
    <w:rsid w:val="00560E4C"/>
    <w:rsid w:val="00564FE6"/>
    <w:rsid w:val="0057589D"/>
    <w:rsid w:val="005868BE"/>
    <w:rsid w:val="005A4D5C"/>
    <w:rsid w:val="005A77D2"/>
    <w:rsid w:val="005B24F9"/>
    <w:rsid w:val="005B5022"/>
    <w:rsid w:val="005B5D99"/>
    <w:rsid w:val="005C36A8"/>
    <w:rsid w:val="005D2F88"/>
    <w:rsid w:val="005D3E8D"/>
    <w:rsid w:val="00601B6C"/>
    <w:rsid w:val="00605C58"/>
    <w:rsid w:val="00631B48"/>
    <w:rsid w:val="00632F6E"/>
    <w:rsid w:val="00645CCD"/>
    <w:rsid w:val="00650A76"/>
    <w:rsid w:val="0065333F"/>
    <w:rsid w:val="00654F85"/>
    <w:rsid w:val="00656E30"/>
    <w:rsid w:val="00656EE6"/>
    <w:rsid w:val="0065771C"/>
    <w:rsid w:val="00662E06"/>
    <w:rsid w:val="00663E0B"/>
    <w:rsid w:val="006654DB"/>
    <w:rsid w:val="006851AC"/>
    <w:rsid w:val="00690087"/>
    <w:rsid w:val="00693BA8"/>
    <w:rsid w:val="006A1DDE"/>
    <w:rsid w:val="006A6407"/>
    <w:rsid w:val="006B3898"/>
    <w:rsid w:val="006C75D7"/>
    <w:rsid w:val="006D019C"/>
    <w:rsid w:val="006D7E35"/>
    <w:rsid w:val="006E2AAD"/>
    <w:rsid w:val="00717848"/>
    <w:rsid w:val="007205BD"/>
    <w:rsid w:val="007276B2"/>
    <w:rsid w:val="00736C9E"/>
    <w:rsid w:val="00743C76"/>
    <w:rsid w:val="00747413"/>
    <w:rsid w:val="007558B3"/>
    <w:rsid w:val="007605EB"/>
    <w:rsid w:val="00771920"/>
    <w:rsid w:val="00772BB7"/>
    <w:rsid w:val="0077369C"/>
    <w:rsid w:val="007848F4"/>
    <w:rsid w:val="007904DD"/>
    <w:rsid w:val="007A7E0F"/>
    <w:rsid w:val="007B1245"/>
    <w:rsid w:val="007C3C06"/>
    <w:rsid w:val="007F7D01"/>
    <w:rsid w:val="00806320"/>
    <w:rsid w:val="008149FE"/>
    <w:rsid w:val="00820E2A"/>
    <w:rsid w:val="0084289F"/>
    <w:rsid w:val="0086214B"/>
    <w:rsid w:val="0089235A"/>
    <w:rsid w:val="00894342"/>
    <w:rsid w:val="0089554F"/>
    <w:rsid w:val="00895A8F"/>
    <w:rsid w:val="008A23C9"/>
    <w:rsid w:val="008A70E3"/>
    <w:rsid w:val="008C41DB"/>
    <w:rsid w:val="008C5C8A"/>
    <w:rsid w:val="008D6DC8"/>
    <w:rsid w:val="008E08EA"/>
    <w:rsid w:val="008E6642"/>
    <w:rsid w:val="008F1B4B"/>
    <w:rsid w:val="00900DFC"/>
    <w:rsid w:val="00902500"/>
    <w:rsid w:val="00902588"/>
    <w:rsid w:val="00902A63"/>
    <w:rsid w:val="00905017"/>
    <w:rsid w:val="00907B38"/>
    <w:rsid w:val="00913B3A"/>
    <w:rsid w:val="00916727"/>
    <w:rsid w:val="009171DD"/>
    <w:rsid w:val="00921BCE"/>
    <w:rsid w:val="0092265F"/>
    <w:rsid w:val="00922B2D"/>
    <w:rsid w:val="00930809"/>
    <w:rsid w:val="00953170"/>
    <w:rsid w:val="0097353B"/>
    <w:rsid w:val="00980F1F"/>
    <w:rsid w:val="00995119"/>
    <w:rsid w:val="009A69BA"/>
    <w:rsid w:val="009F6E6F"/>
    <w:rsid w:val="00A03ED8"/>
    <w:rsid w:val="00A21958"/>
    <w:rsid w:val="00A23A6B"/>
    <w:rsid w:val="00A23D70"/>
    <w:rsid w:val="00A3053B"/>
    <w:rsid w:val="00A3773E"/>
    <w:rsid w:val="00A75D8B"/>
    <w:rsid w:val="00A77A45"/>
    <w:rsid w:val="00A81687"/>
    <w:rsid w:val="00A953CB"/>
    <w:rsid w:val="00A97A8B"/>
    <w:rsid w:val="00AA12F9"/>
    <w:rsid w:val="00AA71B3"/>
    <w:rsid w:val="00AB44F1"/>
    <w:rsid w:val="00AB73A0"/>
    <w:rsid w:val="00AD0FDA"/>
    <w:rsid w:val="00AD3558"/>
    <w:rsid w:val="00AD75B7"/>
    <w:rsid w:val="00AE1CDC"/>
    <w:rsid w:val="00AE5B9D"/>
    <w:rsid w:val="00AF36D5"/>
    <w:rsid w:val="00B04C62"/>
    <w:rsid w:val="00B34F85"/>
    <w:rsid w:val="00B40C87"/>
    <w:rsid w:val="00B46B68"/>
    <w:rsid w:val="00B5218D"/>
    <w:rsid w:val="00B521B2"/>
    <w:rsid w:val="00B5236C"/>
    <w:rsid w:val="00B535CE"/>
    <w:rsid w:val="00B54C6D"/>
    <w:rsid w:val="00B5656E"/>
    <w:rsid w:val="00B574DB"/>
    <w:rsid w:val="00B6711F"/>
    <w:rsid w:val="00B74B5D"/>
    <w:rsid w:val="00B74BC3"/>
    <w:rsid w:val="00B77FCC"/>
    <w:rsid w:val="00B92F13"/>
    <w:rsid w:val="00B9647B"/>
    <w:rsid w:val="00BB1601"/>
    <w:rsid w:val="00BB40F8"/>
    <w:rsid w:val="00BB5A10"/>
    <w:rsid w:val="00BC31C7"/>
    <w:rsid w:val="00BD6496"/>
    <w:rsid w:val="00BE5B04"/>
    <w:rsid w:val="00BF0294"/>
    <w:rsid w:val="00C05E16"/>
    <w:rsid w:val="00C3453B"/>
    <w:rsid w:val="00C56AA8"/>
    <w:rsid w:val="00C62EDE"/>
    <w:rsid w:val="00C63BE7"/>
    <w:rsid w:val="00C64F5D"/>
    <w:rsid w:val="00C70051"/>
    <w:rsid w:val="00C730D5"/>
    <w:rsid w:val="00C76502"/>
    <w:rsid w:val="00C81B46"/>
    <w:rsid w:val="00CA4C5F"/>
    <w:rsid w:val="00CA6EEF"/>
    <w:rsid w:val="00CB23E5"/>
    <w:rsid w:val="00CB240F"/>
    <w:rsid w:val="00CB7F08"/>
    <w:rsid w:val="00CC4C84"/>
    <w:rsid w:val="00CC6758"/>
    <w:rsid w:val="00CD05C3"/>
    <w:rsid w:val="00CD2C1E"/>
    <w:rsid w:val="00CE43B1"/>
    <w:rsid w:val="00CF0507"/>
    <w:rsid w:val="00D015BD"/>
    <w:rsid w:val="00D13B55"/>
    <w:rsid w:val="00D25A40"/>
    <w:rsid w:val="00D33BB1"/>
    <w:rsid w:val="00D358A8"/>
    <w:rsid w:val="00D61399"/>
    <w:rsid w:val="00D619FA"/>
    <w:rsid w:val="00D84C0F"/>
    <w:rsid w:val="00D930C1"/>
    <w:rsid w:val="00D95571"/>
    <w:rsid w:val="00DA5DBC"/>
    <w:rsid w:val="00DC50A5"/>
    <w:rsid w:val="00DC5584"/>
    <w:rsid w:val="00DE539B"/>
    <w:rsid w:val="00DF5507"/>
    <w:rsid w:val="00E00F9C"/>
    <w:rsid w:val="00E12588"/>
    <w:rsid w:val="00E131DC"/>
    <w:rsid w:val="00E13221"/>
    <w:rsid w:val="00E23ECF"/>
    <w:rsid w:val="00E26717"/>
    <w:rsid w:val="00E612AE"/>
    <w:rsid w:val="00E70A60"/>
    <w:rsid w:val="00E832D0"/>
    <w:rsid w:val="00E837F3"/>
    <w:rsid w:val="00E8538F"/>
    <w:rsid w:val="00E865B8"/>
    <w:rsid w:val="00E90C6D"/>
    <w:rsid w:val="00EA55D3"/>
    <w:rsid w:val="00EA7783"/>
    <w:rsid w:val="00EB2900"/>
    <w:rsid w:val="00EB55EE"/>
    <w:rsid w:val="00EC011B"/>
    <w:rsid w:val="00ED42E9"/>
    <w:rsid w:val="00ED72D2"/>
    <w:rsid w:val="00F015EB"/>
    <w:rsid w:val="00F0308C"/>
    <w:rsid w:val="00F068DA"/>
    <w:rsid w:val="00F07CC7"/>
    <w:rsid w:val="00F14735"/>
    <w:rsid w:val="00F2337E"/>
    <w:rsid w:val="00F26DE0"/>
    <w:rsid w:val="00F3014C"/>
    <w:rsid w:val="00F40B96"/>
    <w:rsid w:val="00F464C5"/>
    <w:rsid w:val="00F5478A"/>
    <w:rsid w:val="00F64ED1"/>
    <w:rsid w:val="00F77FB8"/>
    <w:rsid w:val="00F919BF"/>
    <w:rsid w:val="00F96ECC"/>
    <w:rsid w:val="00FB04A9"/>
    <w:rsid w:val="00FC4591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chartTrackingRefBased/>
  <w15:docId w15:val="{325AB785-6080-4D60-8CE6-744F5F7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5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88"/>
  </w:style>
  <w:style w:type="paragraph" w:styleId="Footer">
    <w:name w:val="footer"/>
    <w:basedOn w:val="Normal"/>
    <w:link w:val="FooterChar"/>
    <w:uiPriority w:val="99"/>
    <w:unhideWhenUsed/>
    <w:rsid w:val="00E125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88"/>
  </w:style>
  <w:style w:type="character" w:styleId="Hyperlink">
    <w:name w:val="Hyperlink"/>
    <w:basedOn w:val="DefaultParagraphFont"/>
    <w:uiPriority w:val="99"/>
    <w:unhideWhenUsed/>
    <w:rsid w:val="006B38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523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7E6D-E253-4C15-A7EA-D77DAC0C40A5}"/>
      </w:docPartPr>
      <w:docPartBody>
        <w:p w:rsidR="00000000" w:rsidRDefault="00A15842">
          <w:r w:rsidRPr="00367E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42"/>
    <w:rsid w:val="00A1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8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AC2BD14AF10469839F75AD48BB0DB" ma:contentTypeVersion="3" ma:contentTypeDescription="Create a new document." ma:contentTypeScope="" ma:versionID="c22711941feffed3b14cdd454d024b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09049A-5D71-48D0-896B-731D148AD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F9FD64-5B0E-4486-B917-2481410B6E87}"/>
</file>

<file path=customXml/itemProps3.xml><?xml version="1.0" encoding="utf-8"?>
<ds:datastoreItem xmlns:ds="http://schemas.openxmlformats.org/officeDocument/2006/customXml" ds:itemID="{2BDC1B56-3670-48BC-B196-E3D8D53CD23C}"/>
</file>

<file path=customXml/itemProps4.xml><?xml version="1.0" encoding="utf-8"?>
<ds:datastoreItem xmlns:ds="http://schemas.openxmlformats.org/officeDocument/2006/customXml" ds:itemID="{AADABC11-B706-4C8C-AB59-BB2A32C5B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Wilson (EEC)</dc:creator>
  <cp:keywords/>
  <dc:description/>
  <cp:lastModifiedBy>Newton, Aaron M (EEC)</cp:lastModifiedBy>
  <cp:revision>28</cp:revision>
  <dcterms:created xsi:type="dcterms:W3CDTF">2018-08-08T14:35:00Z</dcterms:created>
  <dcterms:modified xsi:type="dcterms:W3CDTF">2020-11-23T19:30:00Z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0x010100FADAC2BD14AF10469839F75AD48BB0DB</vt:lpwstr>
  </property>
</Properties>
</file>