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E5E0" w14:textId="77777777" w:rsidR="00007A08" w:rsidRPr="00384583" w:rsidRDefault="00007A08" w:rsidP="00007A08">
      <w:pPr>
        <w:rPr>
          <w:rFonts w:ascii="Tahoma" w:hAnsi="Tahoma" w:cs="Tahoma"/>
          <w:b/>
          <w:bCs/>
          <w:i/>
          <w:iCs/>
          <w:color w:val="000000"/>
          <w:sz w:val="23"/>
          <w:szCs w:val="23"/>
          <w:u w:val="single"/>
        </w:rPr>
      </w:pPr>
      <w:r w:rsidRPr="00384583">
        <w:rPr>
          <w:rFonts w:ascii="Tahoma" w:hAnsi="Tahoma" w:cs="Tahoma"/>
          <w:b/>
          <w:bCs/>
          <w:i/>
          <w:iCs/>
          <w:color w:val="000000"/>
          <w:sz w:val="23"/>
          <w:szCs w:val="23"/>
          <w:u w:val="single"/>
        </w:rPr>
        <w:t>BONDS:</w:t>
      </w:r>
    </w:p>
    <w:p w14:paraId="7D54A859" w14:textId="77777777" w:rsidR="00007A08" w:rsidRPr="00384583" w:rsidRDefault="00007A08" w:rsidP="00007A08">
      <w:pPr>
        <w:rPr>
          <w:rFonts w:ascii="Tahoma" w:hAnsi="Tahoma" w:cs="Tahoma"/>
          <w:color w:val="000000"/>
          <w:sz w:val="23"/>
          <w:szCs w:val="23"/>
        </w:rPr>
      </w:pPr>
    </w:p>
    <w:p w14:paraId="33CB66C7" w14:textId="77777777" w:rsidR="00237264" w:rsidRPr="00384583" w:rsidRDefault="00237264" w:rsidP="00384583">
      <w:pPr>
        <w:jc w:val="both"/>
        <w:rPr>
          <w:rFonts w:ascii="Tahoma" w:hAnsi="Tahoma" w:cs="Tahoma"/>
          <w:color w:val="000000"/>
          <w:sz w:val="23"/>
          <w:szCs w:val="23"/>
        </w:rPr>
      </w:pPr>
      <w:r w:rsidRPr="00384583">
        <w:rPr>
          <w:rFonts w:ascii="Tahoma" w:hAnsi="Tahoma" w:cs="Tahoma"/>
          <w:color w:val="000000"/>
          <w:sz w:val="23"/>
          <w:szCs w:val="23"/>
        </w:rPr>
        <w:t>Effective June 27, 2019, the bonding regulations changed. Please refer to KRS 353.590 for further information.</w:t>
      </w:r>
    </w:p>
    <w:p w14:paraId="1D32B14B" w14:textId="77777777" w:rsidR="00237264" w:rsidRPr="00384583" w:rsidRDefault="00237264" w:rsidP="00384583">
      <w:pPr>
        <w:jc w:val="both"/>
        <w:rPr>
          <w:rFonts w:ascii="Tahoma" w:hAnsi="Tahoma" w:cs="Tahoma"/>
          <w:color w:val="000000"/>
          <w:sz w:val="23"/>
          <w:szCs w:val="23"/>
        </w:rPr>
      </w:pPr>
    </w:p>
    <w:p w14:paraId="3CC84B49" w14:textId="77777777" w:rsidR="00007A08" w:rsidRPr="00384583" w:rsidRDefault="00007A08" w:rsidP="00384583">
      <w:pPr>
        <w:rPr>
          <w:rFonts w:ascii="Tahoma" w:hAnsi="Tahoma" w:cs="Tahoma"/>
          <w:color w:val="000000"/>
          <w:sz w:val="23"/>
          <w:szCs w:val="23"/>
        </w:rPr>
      </w:pPr>
      <w:r w:rsidRPr="00384583">
        <w:rPr>
          <w:rFonts w:ascii="Tahoma" w:hAnsi="Tahoma" w:cs="Tahoma"/>
          <w:color w:val="000000"/>
          <w:sz w:val="23"/>
          <w:szCs w:val="23"/>
        </w:rPr>
        <w:t>The Division of Oil and Gas accepts Cash Bonds, Surety Bonds, Letters of Credit, and Certificates of Deposit for bonding oil and gas well</w:t>
      </w:r>
      <w:r w:rsidR="00237264" w:rsidRPr="00384583">
        <w:rPr>
          <w:rFonts w:ascii="Tahoma" w:hAnsi="Tahoma" w:cs="Tahoma"/>
          <w:color w:val="000000"/>
          <w:sz w:val="23"/>
          <w:szCs w:val="23"/>
        </w:rPr>
        <w:t xml:space="preserve">s.  All bonding forms </w:t>
      </w:r>
      <w:r w:rsidR="008B5D39" w:rsidRPr="00384583">
        <w:rPr>
          <w:rFonts w:ascii="Tahoma" w:hAnsi="Tahoma" w:cs="Tahoma"/>
          <w:color w:val="000000"/>
          <w:sz w:val="23"/>
          <w:szCs w:val="23"/>
        </w:rPr>
        <w:t>are available on</w:t>
      </w:r>
      <w:r w:rsidR="00237264" w:rsidRPr="00384583">
        <w:rPr>
          <w:rFonts w:ascii="Tahoma" w:hAnsi="Tahoma" w:cs="Tahoma"/>
          <w:color w:val="000000"/>
          <w:sz w:val="23"/>
          <w:szCs w:val="23"/>
        </w:rPr>
        <w:t xml:space="preserve"> our web page at </w:t>
      </w:r>
      <w:hyperlink r:id="rId9" w:history="1">
        <w:r w:rsidR="00384583" w:rsidRPr="00384583">
          <w:rPr>
            <w:rStyle w:val="Hyperlink"/>
            <w:rFonts w:ascii="Tahoma" w:hAnsi="Tahoma" w:cs="Tahoma"/>
            <w:sz w:val="23"/>
            <w:szCs w:val="23"/>
          </w:rPr>
          <w:t>https://eec.ky.gov/Natural-Resources/Oil-and-Gas/Pages/default.aspx</w:t>
        </w:r>
      </w:hyperlink>
      <w:r w:rsidR="00EE7534" w:rsidRPr="00384583">
        <w:rPr>
          <w:rFonts w:ascii="Tahoma" w:hAnsi="Tahoma" w:cs="Tahoma"/>
          <w:color w:val="000000"/>
          <w:sz w:val="23"/>
          <w:szCs w:val="23"/>
        </w:rPr>
        <w:t xml:space="preserve">.  </w:t>
      </w:r>
    </w:p>
    <w:p w14:paraId="6AFCFC78" w14:textId="77777777" w:rsidR="00007A08" w:rsidRPr="00384583" w:rsidRDefault="00007A08" w:rsidP="00384583">
      <w:pPr>
        <w:jc w:val="both"/>
        <w:rPr>
          <w:rFonts w:ascii="Tahoma" w:hAnsi="Tahoma" w:cs="Tahoma"/>
          <w:color w:val="000000"/>
          <w:sz w:val="23"/>
          <w:szCs w:val="23"/>
        </w:rPr>
      </w:pPr>
    </w:p>
    <w:p w14:paraId="066E7657" w14:textId="77777777" w:rsidR="00007A08" w:rsidRPr="00384583" w:rsidRDefault="00237264" w:rsidP="00384583">
      <w:pPr>
        <w:numPr>
          <w:ilvl w:val="0"/>
          <w:numId w:val="1"/>
        </w:numPr>
        <w:jc w:val="both"/>
        <w:rPr>
          <w:rFonts w:ascii="Tahoma" w:hAnsi="Tahoma" w:cs="Tahoma"/>
          <w:color w:val="000000"/>
          <w:sz w:val="23"/>
          <w:szCs w:val="23"/>
        </w:rPr>
      </w:pPr>
      <w:r w:rsidRPr="00384583">
        <w:rPr>
          <w:rFonts w:ascii="Tahoma" w:hAnsi="Tahoma" w:cs="Tahoma"/>
          <w:color w:val="000000"/>
          <w:sz w:val="23"/>
          <w:szCs w:val="23"/>
        </w:rPr>
        <w:t>Cash bonds are to be submitted either by</w:t>
      </w:r>
      <w:r w:rsidR="00007A08" w:rsidRPr="00384583">
        <w:rPr>
          <w:rFonts w:ascii="Tahoma" w:hAnsi="Tahoma" w:cs="Tahoma"/>
          <w:color w:val="000000"/>
          <w:sz w:val="23"/>
          <w:szCs w:val="23"/>
        </w:rPr>
        <w:t xml:space="preserve"> a Cashier’s Check, a Certified Check, or a Money Order made payable to the Kentucky State Treasurer. </w:t>
      </w:r>
    </w:p>
    <w:p w14:paraId="56BEAD10" w14:textId="77777777" w:rsidR="00007A08" w:rsidRPr="00384583" w:rsidRDefault="00007A08" w:rsidP="00384583">
      <w:pPr>
        <w:jc w:val="both"/>
        <w:rPr>
          <w:rFonts w:ascii="Tahoma" w:hAnsi="Tahoma" w:cs="Tahoma"/>
          <w:color w:val="000000"/>
          <w:sz w:val="23"/>
          <w:szCs w:val="23"/>
        </w:rPr>
      </w:pPr>
    </w:p>
    <w:p w14:paraId="6C022743" w14:textId="77777777" w:rsidR="00007A08" w:rsidRPr="00384583" w:rsidRDefault="00EE7534" w:rsidP="00384583">
      <w:pPr>
        <w:numPr>
          <w:ilvl w:val="0"/>
          <w:numId w:val="1"/>
        </w:numPr>
        <w:jc w:val="both"/>
        <w:rPr>
          <w:rFonts w:ascii="Tahoma" w:hAnsi="Tahoma" w:cs="Tahoma"/>
          <w:color w:val="000000"/>
          <w:sz w:val="23"/>
          <w:szCs w:val="23"/>
        </w:rPr>
      </w:pPr>
      <w:r w:rsidRPr="00384583">
        <w:rPr>
          <w:rFonts w:ascii="Tahoma" w:hAnsi="Tahoma" w:cs="Tahoma"/>
          <w:color w:val="000000"/>
          <w:sz w:val="23"/>
          <w:szCs w:val="23"/>
        </w:rPr>
        <w:t>S</w:t>
      </w:r>
      <w:r w:rsidR="00007A08" w:rsidRPr="00384583">
        <w:rPr>
          <w:rFonts w:ascii="Tahoma" w:hAnsi="Tahoma" w:cs="Tahoma"/>
          <w:color w:val="000000"/>
          <w:sz w:val="23"/>
          <w:szCs w:val="23"/>
        </w:rPr>
        <w:t xml:space="preserve">urety bonds must have the appropriate seals affixed on the forms and be accompanied </w:t>
      </w:r>
      <w:r w:rsidR="00237264" w:rsidRPr="00384583">
        <w:rPr>
          <w:rFonts w:ascii="Tahoma" w:hAnsi="Tahoma" w:cs="Tahoma"/>
          <w:color w:val="000000"/>
          <w:sz w:val="23"/>
          <w:szCs w:val="23"/>
        </w:rPr>
        <w:t>by the Power of Attorney credentials</w:t>
      </w:r>
      <w:r w:rsidR="00007A08" w:rsidRPr="00384583">
        <w:rPr>
          <w:rFonts w:ascii="Tahoma" w:hAnsi="Tahoma" w:cs="Tahoma"/>
          <w:color w:val="000000"/>
          <w:sz w:val="23"/>
          <w:szCs w:val="23"/>
        </w:rPr>
        <w:t xml:space="preserve"> of the surety company’s rep</w:t>
      </w:r>
      <w:r w:rsidR="00237264" w:rsidRPr="00384583">
        <w:rPr>
          <w:rFonts w:ascii="Tahoma" w:hAnsi="Tahoma" w:cs="Tahoma"/>
          <w:color w:val="000000"/>
          <w:sz w:val="23"/>
          <w:szCs w:val="23"/>
        </w:rPr>
        <w:t xml:space="preserve">resentative.  The operator and the surety company representative must sign the surety bond form. </w:t>
      </w:r>
      <w:r w:rsidR="00007A08" w:rsidRPr="00384583">
        <w:rPr>
          <w:rFonts w:ascii="Tahoma" w:hAnsi="Tahoma" w:cs="Tahoma"/>
          <w:color w:val="000000"/>
          <w:sz w:val="23"/>
          <w:szCs w:val="23"/>
        </w:rPr>
        <w:t xml:space="preserve"> </w:t>
      </w:r>
      <w:r w:rsidR="00237264" w:rsidRPr="00384583">
        <w:rPr>
          <w:rFonts w:ascii="Tahoma" w:hAnsi="Tahoma" w:cs="Tahoma"/>
          <w:color w:val="000000"/>
          <w:sz w:val="23"/>
          <w:szCs w:val="23"/>
        </w:rPr>
        <w:t>T</w:t>
      </w:r>
      <w:r w:rsidR="00007A08" w:rsidRPr="00384583">
        <w:rPr>
          <w:rFonts w:ascii="Tahoma" w:hAnsi="Tahoma" w:cs="Tahoma"/>
          <w:color w:val="000000"/>
          <w:sz w:val="23"/>
          <w:szCs w:val="23"/>
        </w:rPr>
        <w:t>he original signed form</w:t>
      </w:r>
      <w:r w:rsidR="00237264" w:rsidRPr="00384583">
        <w:rPr>
          <w:rFonts w:ascii="Tahoma" w:hAnsi="Tahoma" w:cs="Tahoma"/>
          <w:color w:val="000000"/>
          <w:sz w:val="23"/>
          <w:szCs w:val="23"/>
        </w:rPr>
        <w:t xml:space="preserve"> </w:t>
      </w:r>
      <w:r w:rsidR="008B5D39" w:rsidRPr="00384583">
        <w:rPr>
          <w:rFonts w:ascii="Tahoma" w:hAnsi="Tahoma" w:cs="Tahoma"/>
          <w:color w:val="000000"/>
          <w:sz w:val="23"/>
          <w:szCs w:val="23"/>
        </w:rPr>
        <w:t>must be submitted to</w:t>
      </w:r>
      <w:r w:rsidR="00007A08" w:rsidRPr="00384583">
        <w:rPr>
          <w:rFonts w:ascii="Tahoma" w:hAnsi="Tahoma" w:cs="Tahoma"/>
          <w:color w:val="000000"/>
          <w:sz w:val="23"/>
          <w:szCs w:val="23"/>
        </w:rPr>
        <w:t xml:space="preserve"> our of</w:t>
      </w:r>
      <w:r w:rsidR="00237264" w:rsidRPr="00384583">
        <w:rPr>
          <w:rFonts w:ascii="Tahoma" w:hAnsi="Tahoma" w:cs="Tahoma"/>
          <w:color w:val="000000"/>
          <w:sz w:val="23"/>
          <w:szCs w:val="23"/>
        </w:rPr>
        <w:t>fice for approval.</w:t>
      </w:r>
    </w:p>
    <w:p w14:paraId="29A9171F" w14:textId="77777777" w:rsidR="00237264" w:rsidRPr="00384583" w:rsidRDefault="00237264" w:rsidP="00384583">
      <w:pPr>
        <w:ind w:left="720"/>
        <w:jc w:val="both"/>
        <w:rPr>
          <w:rFonts w:ascii="Tahoma" w:hAnsi="Tahoma" w:cs="Tahoma"/>
          <w:color w:val="000000"/>
          <w:sz w:val="23"/>
          <w:szCs w:val="23"/>
        </w:rPr>
      </w:pPr>
    </w:p>
    <w:p w14:paraId="56E8DBC0" w14:textId="77777777" w:rsidR="00007A08" w:rsidRPr="00384583" w:rsidRDefault="00007A08" w:rsidP="00384583">
      <w:pPr>
        <w:numPr>
          <w:ilvl w:val="0"/>
          <w:numId w:val="1"/>
        </w:numPr>
        <w:jc w:val="both"/>
        <w:rPr>
          <w:rFonts w:ascii="Tahoma" w:hAnsi="Tahoma" w:cs="Tahoma"/>
          <w:color w:val="000000"/>
          <w:sz w:val="23"/>
          <w:szCs w:val="23"/>
        </w:rPr>
      </w:pPr>
      <w:r w:rsidRPr="00384583">
        <w:rPr>
          <w:rFonts w:ascii="Tahoma" w:hAnsi="Tahoma" w:cs="Tahoma"/>
          <w:color w:val="000000"/>
          <w:sz w:val="23"/>
          <w:szCs w:val="23"/>
        </w:rPr>
        <w:t xml:space="preserve">The Letter of Credit is a two-page document that must be completed by the bank.  The original signed form </w:t>
      </w:r>
      <w:r w:rsidR="008B5D39" w:rsidRPr="00384583">
        <w:rPr>
          <w:rFonts w:ascii="Tahoma" w:hAnsi="Tahoma" w:cs="Tahoma"/>
          <w:color w:val="000000"/>
          <w:sz w:val="23"/>
          <w:szCs w:val="23"/>
        </w:rPr>
        <w:t>must be submitted</w:t>
      </w:r>
      <w:r w:rsidRPr="00384583">
        <w:rPr>
          <w:rFonts w:ascii="Tahoma" w:hAnsi="Tahoma" w:cs="Tahoma"/>
          <w:color w:val="000000"/>
          <w:sz w:val="23"/>
          <w:szCs w:val="23"/>
        </w:rPr>
        <w:t xml:space="preserve"> to our office for processing.  </w:t>
      </w:r>
      <w:r w:rsidR="008B5D39" w:rsidRPr="00384583">
        <w:rPr>
          <w:rFonts w:ascii="Tahoma" w:hAnsi="Tahoma" w:cs="Tahoma"/>
          <w:color w:val="000000"/>
          <w:sz w:val="23"/>
          <w:szCs w:val="23"/>
        </w:rPr>
        <w:t>Bank letterhead is acceptable, but the form must be verbatim.</w:t>
      </w:r>
    </w:p>
    <w:p w14:paraId="3E432646" w14:textId="77777777" w:rsidR="008B5D39" w:rsidRPr="00384583" w:rsidRDefault="008B5D39" w:rsidP="00384583">
      <w:pPr>
        <w:ind w:left="720"/>
        <w:jc w:val="both"/>
        <w:rPr>
          <w:rFonts w:ascii="Tahoma" w:hAnsi="Tahoma" w:cs="Tahoma"/>
          <w:color w:val="000000"/>
          <w:sz w:val="23"/>
          <w:szCs w:val="23"/>
        </w:rPr>
      </w:pPr>
    </w:p>
    <w:p w14:paraId="312016E2" w14:textId="77777777" w:rsidR="00FC409E" w:rsidRPr="00384583" w:rsidRDefault="00007A08" w:rsidP="00384583">
      <w:pPr>
        <w:numPr>
          <w:ilvl w:val="0"/>
          <w:numId w:val="1"/>
        </w:numPr>
        <w:jc w:val="both"/>
        <w:rPr>
          <w:rFonts w:ascii="Tahoma" w:hAnsi="Tahoma" w:cs="Tahoma"/>
          <w:color w:val="000000"/>
          <w:sz w:val="23"/>
          <w:szCs w:val="23"/>
        </w:rPr>
      </w:pPr>
      <w:r w:rsidRPr="00384583">
        <w:rPr>
          <w:rFonts w:ascii="Tahoma" w:hAnsi="Tahoma" w:cs="Tahoma"/>
          <w:color w:val="000000"/>
          <w:sz w:val="23"/>
          <w:szCs w:val="23"/>
        </w:rPr>
        <w:t xml:space="preserve">The original Certificate of Deposit </w:t>
      </w:r>
      <w:r w:rsidR="008B5D39" w:rsidRPr="00384583">
        <w:rPr>
          <w:rFonts w:ascii="Tahoma" w:hAnsi="Tahoma" w:cs="Tahoma"/>
          <w:color w:val="000000"/>
          <w:sz w:val="23"/>
          <w:szCs w:val="23"/>
        </w:rPr>
        <w:t xml:space="preserve">along with the </w:t>
      </w:r>
      <w:r w:rsidRPr="00384583">
        <w:rPr>
          <w:rFonts w:ascii="Tahoma" w:hAnsi="Tahoma" w:cs="Tahoma"/>
          <w:color w:val="000000"/>
          <w:sz w:val="23"/>
          <w:szCs w:val="23"/>
        </w:rPr>
        <w:t xml:space="preserve">Verification of Certificate of Deposit Form </w:t>
      </w:r>
      <w:r w:rsidR="008B5D39" w:rsidRPr="00384583">
        <w:rPr>
          <w:rFonts w:ascii="Tahoma" w:hAnsi="Tahoma" w:cs="Tahoma"/>
          <w:color w:val="000000"/>
          <w:sz w:val="23"/>
          <w:szCs w:val="23"/>
        </w:rPr>
        <w:t>must be forwarded</w:t>
      </w:r>
      <w:r w:rsidRPr="00384583">
        <w:rPr>
          <w:rFonts w:ascii="Tahoma" w:hAnsi="Tahoma" w:cs="Tahoma"/>
          <w:color w:val="000000"/>
          <w:sz w:val="23"/>
          <w:szCs w:val="23"/>
        </w:rPr>
        <w:t xml:space="preserve"> to our office</w:t>
      </w:r>
      <w:r w:rsidR="00CE7EE6" w:rsidRPr="00384583">
        <w:rPr>
          <w:rFonts w:ascii="Tahoma" w:hAnsi="Tahoma" w:cs="Tahoma"/>
          <w:color w:val="000000"/>
          <w:sz w:val="23"/>
          <w:szCs w:val="23"/>
        </w:rPr>
        <w:t xml:space="preserve"> along with the Terms and Conditions</w:t>
      </w:r>
      <w:r w:rsidRPr="00384583">
        <w:rPr>
          <w:rFonts w:ascii="Tahoma" w:hAnsi="Tahoma" w:cs="Tahoma"/>
          <w:color w:val="000000"/>
          <w:sz w:val="23"/>
          <w:szCs w:val="23"/>
        </w:rPr>
        <w:t xml:space="preserve">.  </w:t>
      </w:r>
      <w:r w:rsidR="00CE7EE6" w:rsidRPr="00384583">
        <w:rPr>
          <w:rFonts w:ascii="Tahoma" w:hAnsi="Tahoma" w:cs="Tahoma"/>
          <w:color w:val="000000"/>
          <w:sz w:val="23"/>
          <w:szCs w:val="23"/>
        </w:rPr>
        <w:t xml:space="preserve">Due to changes in the banking industry, the Division of Oil &amp; Gas will carefully review the Terms and Conditions to ensure the Certificate of Deposit will remain in place, without any reduction, until the well is properly plugged or officially transferred to a successor operator. </w:t>
      </w:r>
      <w:r w:rsidR="00EE7534" w:rsidRPr="00384583">
        <w:rPr>
          <w:rFonts w:ascii="Tahoma" w:hAnsi="Tahoma" w:cs="Tahoma"/>
          <w:color w:val="000000"/>
          <w:sz w:val="23"/>
          <w:szCs w:val="23"/>
        </w:rPr>
        <w:t xml:space="preserve"> The bank must also ensure </w:t>
      </w:r>
      <w:r w:rsidR="00FC409E" w:rsidRPr="00384583">
        <w:rPr>
          <w:rFonts w:ascii="Tahoma" w:hAnsi="Tahoma" w:cs="Tahoma"/>
          <w:color w:val="000000"/>
          <w:sz w:val="23"/>
          <w:szCs w:val="23"/>
        </w:rPr>
        <w:t xml:space="preserve">the Certificate of Deposit </w:t>
      </w:r>
      <w:r w:rsidR="00EE7534" w:rsidRPr="00384583">
        <w:rPr>
          <w:rFonts w:ascii="Tahoma" w:hAnsi="Tahoma" w:cs="Tahoma"/>
          <w:color w:val="000000"/>
          <w:sz w:val="23"/>
          <w:szCs w:val="23"/>
        </w:rPr>
        <w:t xml:space="preserve">will not </w:t>
      </w:r>
      <w:r w:rsidR="00FC409E" w:rsidRPr="00384583">
        <w:rPr>
          <w:rFonts w:ascii="Tahoma" w:hAnsi="Tahoma" w:cs="Tahoma"/>
          <w:color w:val="000000"/>
          <w:sz w:val="23"/>
          <w:szCs w:val="23"/>
        </w:rPr>
        <w:t xml:space="preserve">be released without the </w:t>
      </w:r>
      <w:r w:rsidR="00EE7534" w:rsidRPr="00384583">
        <w:rPr>
          <w:rFonts w:ascii="Tahoma" w:hAnsi="Tahoma" w:cs="Tahoma"/>
          <w:color w:val="000000"/>
          <w:sz w:val="23"/>
          <w:szCs w:val="23"/>
        </w:rPr>
        <w:t xml:space="preserve">consent </w:t>
      </w:r>
      <w:r w:rsidR="00FC409E" w:rsidRPr="00384583">
        <w:rPr>
          <w:rFonts w:ascii="Tahoma" w:hAnsi="Tahoma" w:cs="Tahoma"/>
          <w:color w:val="000000"/>
          <w:sz w:val="23"/>
          <w:szCs w:val="23"/>
        </w:rPr>
        <w:t xml:space="preserve">of the Division of Oil &amp; Gas. </w:t>
      </w:r>
    </w:p>
    <w:p w14:paraId="371AB292" w14:textId="77777777" w:rsidR="00FC409E" w:rsidRPr="00384583" w:rsidRDefault="00FC409E" w:rsidP="00384583">
      <w:pPr>
        <w:pStyle w:val="ListParagraph"/>
        <w:jc w:val="both"/>
        <w:rPr>
          <w:rFonts w:ascii="Tahoma" w:hAnsi="Tahoma" w:cs="Tahoma"/>
          <w:color w:val="000000"/>
          <w:sz w:val="23"/>
          <w:szCs w:val="23"/>
        </w:rPr>
      </w:pPr>
    </w:p>
    <w:p w14:paraId="1641560C" w14:textId="77777777" w:rsidR="00FC409E" w:rsidRPr="00384583" w:rsidRDefault="00007A08" w:rsidP="00384583">
      <w:pPr>
        <w:ind w:left="720"/>
        <w:jc w:val="both"/>
        <w:rPr>
          <w:rFonts w:ascii="Tahoma" w:hAnsi="Tahoma" w:cs="Tahoma"/>
          <w:color w:val="000000"/>
          <w:sz w:val="23"/>
          <w:szCs w:val="23"/>
        </w:rPr>
      </w:pPr>
      <w:r w:rsidRPr="00384583">
        <w:rPr>
          <w:rFonts w:ascii="Tahoma" w:hAnsi="Tahoma" w:cs="Tahoma"/>
          <w:color w:val="000000"/>
          <w:sz w:val="23"/>
          <w:szCs w:val="23"/>
        </w:rPr>
        <w:t xml:space="preserve">If the Certificate of Deposit </w:t>
      </w:r>
      <w:r w:rsidR="008B5D39" w:rsidRPr="00384583">
        <w:rPr>
          <w:rFonts w:ascii="Tahoma" w:hAnsi="Tahoma" w:cs="Tahoma"/>
          <w:color w:val="000000"/>
          <w:sz w:val="23"/>
          <w:szCs w:val="23"/>
        </w:rPr>
        <w:t>will serve as</w:t>
      </w:r>
      <w:r w:rsidR="00BB79D1" w:rsidRPr="00384583">
        <w:rPr>
          <w:rFonts w:ascii="Tahoma" w:hAnsi="Tahoma" w:cs="Tahoma"/>
          <w:color w:val="000000"/>
          <w:sz w:val="23"/>
          <w:szCs w:val="23"/>
        </w:rPr>
        <w:t xml:space="preserve"> a blanket bond,</w:t>
      </w:r>
      <w:r w:rsidRPr="00384583">
        <w:rPr>
          <w:rFonts w:ascii="Tahoma" w:hAnsi="Tahoma" w:cs="Tahoma"/>
          <w:color w:val="000000"/>
          <w:sz w:val="23"/>
          <w:szCs w:val="23"/>
        </w:rPr>
        <w:t xml:space="preserve"> the first $5,000.00 of the bond must be </w:t>
      </w:r>
      <w:r w:rsidR="003F5965" w:rsidRPr="00384583">
        <w:rPr>
          <w:rFonts w:ascii="Tahoma" w:hAnsi="Tahoma" w:cs="Tahoma"/>
          <w:color w:val="000000"/>
          <w:sz w:val="23"/>
          <w:szCs w:val="23"/>
        </w:rPr>
        <w:t>posted with the department in cas</w:t>
      </w:r>
      <w:r w:rsidR="00EE7534" w:rsidRPr="00384583">
        <w:rPr>
          <w:rFonts w:ascii="Tahoma" w:hAnsi="Tahoma" w:cs="Tahoma"/>
          <w:color w:val="000000"/>
          <w:sz w:val="23"/>
          <w:szCs w:val="23"/>
        </w:rPr>
        <w:t xml:space="preserve">h (certified check/money order).  The Certificate of Deposit will reflect the remaining </w:t>
      </w:r>
      <w:r w:rsidRPr="00384583">
        <w:rPr>
          <w:rFonts w:ascii="Tahoma" w:hAnsi="Tahoma" w:cs="Tahoma"/>
          <w:color w:val="000000"/>
          <w:sz w:val="23"/>
          <w:szCs w:val="23"/>
        </w:rPr>
        <w:t>amount</w:t>
      </w:r>
      <w:r w:rsidR="003F5965" w:rsidRPr="00384583">
        <w:rPr>
          <w:rFonts w:ascii="Tahoma" w:hAnsi="Tahoma" w:cs="Tahoma"/>
          <w:color w:val="000000"/>
          <w:sz w:val="23"/>
          <w:szCs w:val="23"/>
        </w:rPr>
        <w:t xml:space="preserve"> </w:t>
      </w:r>
      <w:r w:rsidR="00EE7534" w:rsidRPr="00384583">
        <w:rPr>
          <w:rFonts w:ascii="Tahoma" w:hAnsi="Tahoma" w:cs="Tahoma"/>
          <w:color w:val="000000"/>
          <w:sz w:val="23"/>
          <w:szCs w:val="23"/>
        </w:rPr>
        <w:t xml:space="preserve">needed in order to establish a blanket bond. </w:t>
      </w:r>
    </w:p>
    <w:p w14:paraId="638EB704" w14:textId="77777777" w:rsidR="00EE7534" w:rsidRPr="00384583" w:rsidRDefault="00EE7534" w:rsidP="00384583">
      <w:pPr>
        <w:ind w:left="720"/>
        <w:jc w:val="both"/>
        <w:rPr>
          <w:rFonts w:ascii="Tahoma" w:hAnsi="Tahoma" w:cs="Tahoma"/>
          <w:color w:val="000000"/>
          <w:sz w:val="23"/>
          <w:szCs w:val="23"/>
        </w:rPr>
      </w:pPr>
    </w:p>
    <w:p w14:paraId="750FF82E" w14:textId="77777777" w:rsidR="00FC409E" w:rsidRPr="00384583" w:rsidRDefault="00FC409E" w:rsidP="00384583">
      <w:pPr>
        <w:ind w:left="720"/>
        <w:jc w:val="both"/>
        <w:rPr>
          <w:rFonts w:ascii="Tahoma" w:hAnsi="Tahoma" w:cs="Tahoma"/>
          <w:color w:val="000000"/>
          <w:sz w:val="23"/>
          <w:szCs w:val="23"/>
        </w:rPr>
      </w:pPr>
      <w:r w:rsidRPr="00384583">
        <w:rPr>
          <w:rFonts w:ascii="Tahoma" w:hAnsi="Tahoma" w:cs="Tahoma"/>
          <w:color w:val="000000"/>
          <w:sz w:val="23"/>
          <w:szCs w:val="23"/>
        </w:rPr>
        <w:t xml:space="preserve">Due to the complexity involving Certificates of Deposit, </w:t>
      </w:r>
      <w:r w:rsidR="00EE7534" w:rsidRPr="00384583">
        <w:rPr>
          <w:rFonts w:ascii="Tahoma" w:hAnsi="Tahoma" w:cs="Tahoma"/>
          <w:color w:val="000000"/>
          <w:sz w:val="23"/>
          <w:szCs w:val="23"/>
        </w:rPr>
        <w:t>the Division of Oil and Gas strongly encourages operators to post another type of bond.</w:t>
      </w:r>
    </w:p>
    <w:p w14:paraId="00B0F3DA" w14:textId="77777777" w:rsidR="00007A08" w:rsidRPr="00384583" w:rsidRDefault="00007A08" w:rsidP="00384583">
      <w:pPr>
        <w:jc w:val="both"/>
        <w:rPr>
          <w:rFonts w:ascii="Tahoma" w:hAnsi="Tahoma" w:cs="Tahoma"/>
          <w:color w:val="000000"/>
          <w:sz w:val="23"/>
          <w:szCs w:val="23"/>
        </w:rPr>
      </w:pPr>
    </w:p>
    <w:p w14:paraId="1F879E7B" w14:textId="77777777" w:rsidR="00007A08" w:rsidRPr="00384583" w:rsidRDefault="00007A08" w:rsidP="00384583">
      <w:pPr>
        <w:jc w:val="both"/>
        <w:rPr>
          <w:rFonts w:ascii="Tahoma" w:hAnsi="Tahoma" w:cs="Tahoma"/>
          <w:color w:val="000000"/>
          <w:sz w:val="23"/>
          <w:szCs w:val="23"/>
        </w:rPr>
      </w:pPr>
      <w:r w:rsidRPr="00384583">
        <w:rPr>
          <w:rFonts w:ascii="Tahoma" w:hAnsi="Tahoma" w:cs="Tahoma"/>
          <w:color w:val="000000"/>
          <w:sz w:val="23"/>
          <w:szCs w:val="23"/>
        </w:rPr>
        <w:t xml:space="preserve">Pursuant to KRS 353.590, all bonds remain on file until all well(s) covered </w:t>
      </w:r>
      <w:r w:rsidR="00384583">
        <w:rPr>
          <w:rFonts w:ascii="Tahoma" w:hAnsi="Tahoma" w:cs="Tahoma"/>
          <w:color w:val="000000"/>
          <w:sz w:val="23"/>
          <w:szCs w:val="23"/>
        </w:rPr>
        <w:t>by</w:t>
      </w:r>
      <w:r w:rsidRPr="00384583">
        <w:rPr>
          <w:rFonts w:ascii="Tahoma" w:hAnsi="Tahoma" w:cs="Tahoma"/>
          <w:color w:val="000000"/>
          <w:sz w:val="23"/>
          <w:szCs w:val="23"/>
        </w:rPr>
        <w:t xml:space="preserve"> the bond are either plugged</w:t>
      </w:r>
      <w:r w:rsidR="003F5965" w:rsidRPr="00384583">
        <w:rPr>
          <w:rFonts w:ascii="Tahoma" w:hAnsi="Tahoma" w:cs="Tahoma"/>
          <w:color w:val="000000"/>
          <w:sz w:val="23"/>
          <w:szCs w:val="23"/>
        </w:rPr>
        <w:t xml:space="preserve"> with all records on file</w:t>
      </w:r>
      <w:r w:rsidRPr="00384583">
        <w:rPr>
          <w:rFonts w:ascii="Tahoma" w:hAnsi="Tahoma" w:cs="Tahoma"/>
          <w:color w:val="000000"/>
          <w:sz w:val="23"/>
          <w:szCs w:val="23"/>
        </w:rPr>
        <w:t xml:space="preserve"> or transferred</w:t>
      </w:r>
      <w:r w:rsidR="003F5965" w:rsidRPr="00384583">
        <w:rPr>
          <w:rFonts w:ascii="Tahoma" w:hAnsi="Tahoma" w:cs="Tahoma"/>
          <w:color w:val="000000"/>
          <w:sz w:val="23"/>
          <w:szCs w:val="23"/>
        </w:rPr>
        <w:t xml:space="preserve"> to a successor operator</w:t>
      </w:r>
      <w:r w:rsidRPr="00384583">
        <w:rPr>
          <w:rFonts w:ascii="Tahoma" w:hAnsi="Tahoma" w:cs="Tahoma"/>
          <w:color w:val="000000"/>
          <w:sz w:val="23"/>
          <w:szCs w:val="23"/>
        </w:rPr>
        <w:t>.  The operator must forward a written, signed request to have the bond</w:t>
      </w:r>
      <w:r w:rsidR="003F5965" w:rsidRPr="00384583">
        <w:rPr>
          <w:rFonts w:ascii="Tahoma" w:hAnsi="Tahoma" w:cs="Tahoma"/>
          <w:color w:val="000000"/>
          <w:sz w:val="23"/>
          <w:szCs w:val="23"/>
        </w:rPr>
        <w:t>(s)</w:t>
      </w:r>
      <w:r w:rsidRPr="00384583">
        <w:rPr>
          <w:rFonts w:ascii="Tahoma" w:hAnsi="Tahoma" w:cs="Tahoma"/>
          <w:color w:val="000000"/>
          <w:sz w:val="23"/>
          <w:szCs w:val="23"/>
        </w:rPr>
        <w:t xml:space="preserve"> release</w:t>
      </w:r>
      <w:r w:rsidR="003F5965" w:rsidRPr="00384583">
        <w:rPr>
          <w:rFonts w:ascii="Tahoma" w:hAnsi="Tahoma" w:cs="Tahoma"/>
          <w:color w:val="000000"/>
          <w:sz w:val="23"/>
          <w:szCs w:val="23"/>
        </w:rPr>
        <w:t>d</w:t>
      </w:r>
      <w:r w:rsidRPr="00384583">
        <w:rPr>
          <w:rFonts w:ascii="Tahoma" w:hAnsi="Tahoma" w:cs="Tahoma"/>
          <w:color w:val="000000"/>
          <w:sz w:val="23"/>
          <w:szCs w:val="23"/>
        </w:rPr>
        <w:t>. </w:t>
      </w:r>
      <w:r w:rsidR="003F5965" w:rsidRPr="00384583">
        <w:rPr>
          <w:rFonts w:ascii="Tahoma" w:hAnsi="Tahoma" w:cs="Tahoma"/>
          <w:color w:val="000000"/>
          <w:sz w:val="23"/>
          <w:szCs w:val="23"/>
        </w:rPr>
        <w:t xml:space="preserve">For your convenience, a Bond Release Request form can </w:t>
      </w:r>
      <w:r w:rsidR="00384583">
        <w:rPr>
          <w:rFonts w:ascii="Tahoma" w:hAnsi="Tahoma" w:cs="Tahoma"/>
          <w:color w:val="000000"/>
          <w:sz w:val="23"/>
          <w:szCs w:val="23"/>
        </w:rPr>
        <w:t xml:space="preserve">also </w:t>
      </w:r>
      <w:r w:rsidR="003F5965" w:rsidRPr="00384583">
        <w:rPr>
          <w:rFonts w:ascii="Tahoma" w:hAnsi="Tahoma" w:cs="Tahoma"/>
          <w:color w:val="000000"/>
          <w:sz w:val="23"/>
          <w:szCs w:val="23"/>
        </w:rPr>
        <w:t>be found on our web</w:t>
      </w:r>
      <w:r w:rsidR="00384583">
        <w:rPr>
          <w:rFonts w:ascii="Tahoma" w:hAnsi="Tahoma" w:cs="Tahoma"/>
          <w:color w:val="000000"/>
          <w:sz w:val="23"/>
          <w:szCs w:val="23"/>
        </w:rPr>
        <w:t>page</w:t>
      </w:r>
      <w:r w:rsidR="003F5965" w:rsidRPr="00384583">
        <w:rPr>
          <w:rFonts w:ascii="Tahoma" w:hAnsi="Tahoma" w:cs="Tahoma"/>
          <w:color w:val="000000"/>
          <w:sz w:val="23"/>
          <w:szCs w:val="23"/>
        </w:rPr>
        <w:t>.</w:t>
      </w:r>
      <w:r w:rsidRPr="00384583">
        <w:rPr>
          <w:rFonts w:ascii="Tahoma" w:hAnsi="Tahoma" w:cs="Tahoma"/>
          <w:color w:val="000000"/>
          <w:sz w:val="23"/>
          <w:szCs w:val="23"/>
        </w:rPr>
        <w:t xml:space="preserve"> </w:t>
      </w:r>
    </w:p>
    <w:p w14:paraId="30D79593" w14:textId="77777777" w:rsidR="00007A08" w:rsidRPr="00384583" w:rsidRDefault="00007A08" w:rsidP="00384583">
      <w:pPr>
        <w:jc w:val="both"/>
        <w:rPr>
          <w:rFonts w:ascii="Tahoma" w:hAnsi="Tahoma" w:cs="Tahoma"/>
          <w:sz w:val="23"/>
          <w:szCs w:val="23"/>
        </w:rPr>
      </w:pPr>
    </w:p>
    <w:sectPr w:rsidR="00007A08" w:rsidRPr="003845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B9A"/>
    <w:multiLevelType w:val="hybridMultilevel"/>
    <w:tmpl w:val="8A0EA7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31602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08"/>
    <w:rsid w:val="00007A08"/>
    <w:rsid w:val="00237264"/>
    <w:rsid w:val="002677E6"/>
    <w:rsid w:val="003301ED"/>
    <w:rsid w:val="00384583"/>
    <w:rsid w:val="003F5965"/>
    <w:rsid w:val="00767E1C"/>
    <w:rsid w:val="008B5D39"/>
    <w:rsid w:val="009E6573"/>
    <w:rsid w:val="00A56B85"/>
    <w:rsid w:val="00BB79D1"/>
    <w:rsid w:val="00CE7EE6"/>
    <w:rsid w:val="00E82E82"/>
    <w:rsid w:val="00EE7534"/>
    <w:rsid w:val="00FC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FD569"/>
  <w15:chartTrackingRefBased/>
  <w15:docId w15:val="{67A32C7F-7BF9-4AB3-BA95-D6C923A6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237264"/>
    <w:pPr>
      <w:ind w:left="720"/>
    </w:pPr>
  </w:style>
  <w:style w:type="character" w:styleId="Hyperlink">
    <w:name w:val="Hyperlink"/>
    <w:rsid w:val="00EE75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5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ec.ky.gov/Natural-Resources/Oil-and-G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69F4C5455FB4D80C0ECA972758162" ma:contentTypeVersion="3" ma:contentTypeDescription="Create a new document." ma:contentTypeScope="" ma:versionID="567fe495d24a9b5d9682ce26fee8fd66">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178C1B-4E29-4E16-8ABC-3A3293EE5E25}">
  <ds:schemaRefs>
    <ds:schemaRef ds:uri="http://schemas.microsoft.com/sharepoint/v3/contenttype/forms"/>
  </ds:schemaRefs>
</ds:datastoreItem>
</file>

<file path=customXml/itemProps2.xml><?xml version="1.0" encoding="utf-8"?>
<ds:datastoreItem xmlns:ds="http://schemas.openxmlformats.org/officeDocument/2006/customXml" ds:itemID="{F2A7A441-F9D7-47B8-A413-21799BB9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9d946-9fb8-48a3-ae4d-f86d881f4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1B246-B5B4-4A66-A46C-D3947E1603EB}">
  <ds:schemaRefs>
    <ds:schemaRef ds:uri="http://schemas.microsoft.com/office/2006/metadata/longProperties"/>
  </ds:schemaRefs>
</ds:datastoreItem>
</file>

<file path=customXml/itemProps4.xml><?xml version="1.0" encoding="utf-8"?>
<ds:datastoreItem xmlns:ds="http://schemas.openxmlformats.org/officeDocument/2006/customXml" ds:itemID="{1B6A2051-9453-43AE-AF9D-97576E1A629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Performance Bonds</vt:lpstr>
    </vt:vector>
  </TitlesOfParts>
  <Company>EPPC</Company>
  <LinksUpToDate>false</LinksUpToDate>
  <CharactersWithSpaces>2480</CharactersWithSpaces>
  <SharedDoc>false</SharedDoc>
  <HLinks>
    <vt:vector size="6" baseType="variant">
      <vt:variant>
        <vt:i4>3539070</vt:i4>
      </vt:variant>
      <vt:variant>
        <vt:i4>0</vt:i4>
      </vt:variant>
      <vt:variant>
        <vt:i4>0</vt:i4>
      </vt:variant>
      <vt:variant>
        <vt:i4>5</vt:i4>
      </vt:variant>
      <vt:variant>
        <vt:lpwstr>https://eec.ky.gov/Natural-Resources/Oil-and-Gas/Pages/default.aspx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 Performance Bonds - September 2020</dc:title>
  <dc:subject/>
  <dc:creator>NicoleL.Allison</dc:creator>
  <cp:keywords/>
  <dc:description/>
  <cp:lastModifiedBy>Clay, Kaci (EEC)</cp:lastModifiedBy>
  <cp:revision>2</cp:revision>
  <dcterms:created xsi:type="dcterms:W3CDTF">2026-02-23T14:22:00Z</dcterms:created>
  <dcterms:modified xsi:type="dcterms:W3CDTF">2026-02-23T14:22:00Z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ate">
    <vt:lpwstr>2010-04-13T00:00:00Z</vt:lpwstr>
  </property>
  <property fmtid="{D5CDD505-2E9C-101B-9397-08002B2CF9AE}" pid="3" name="ContentType">
    <vt:lpwstr>Document</vt:lpwstr>
  </property>
  <property fmtid="{D5CDD505-2E9C-101B-9397-08002B2CF9AE}" pid="4" name="ContentTypeId">
    <vt:lpwstr>0x0101002E469F4C5455FB4D80C0ECA972758162</vt:lpwstr>
  </property>
</Properties>
</file>